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left="0" w:right="0" w:firstLine="0" w:firstLineChars="0"/>
        <w:jc w:val="left"/>
        <w:textAlignment w:val="auto"/>
        <w:rPr>
          <w:rFonts w:hint="eastAsia" w:ascii="黑体" w:hAnsi="黑体" w:eastAsia="黑体" w:cs="黑体"/>
          <w:b w:val="0"/>
          <w:bCs w:val="0"/>
          <w:i w:val="0"/>
          <w:iCs w:val="0"/>
          <w:caps w:val="0"/>
          <w:color w:val="auto"/>
          <w:spacing w:val="0"/>
          <w:kern w:val="2"/>
          <w:sz w:val="32"/>
          <w:szCs w:val="32"/>
          <w:shd w:val="clear" w:color="auto" w:fill="auto"/>
          <w:lang w:val="en-US" w:eastAsia="zh-CN" w:bidi="ar"/>
        </w:rPr>
      </w:pPr>
      <w:r>
        <w:rPr>
          <w:rFonts w:hint="eastAsia" w:ascii="黑体" w:hAnsi="黑体" w:eastAsia="黑体" w:cs="黑体"/>
          <w:b w:val="0"/>
          <w:bCs w:val="0"/>
          <w:i w:val="0"/>
          <w:iCs w:val="0"/>
          <w:caps w:val="0"/>
          <w:color w:val="auto"/>
          <w:spacing w:val="0"/>
          <w:kern w:val="2"/>
          <w:sz w:val="32"/>
          <w:szCs w:val="32"/>
          <w:shd w:val="clear" w:color="auto" w:fill="auto"/>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left="0" w:right="0" w:firstLine="0" w:firstLineChars="0"/>
        <w:jc w:val="left"/>
        <w:textAlignment w:val="auto"/>
        <w:rPr>
          <w:rFonts w:hint="eastAsia" w:ascii="仿宋" w:hAnsi="仿宋" w:eastAsia="仿宋" w:cs="仿宋"/>
          <w:b w:val="0"/>
          <w:bCs w:val="0"/>
          <w:i w:val="0"/>
          <w:iCs w:val="0"/>
          <w:caps w:val="0"/>
          <w:color w:val="auto"/>
          <w:spacing w:val="0"/>
          <w:kern w:val="2"/>
          <w:sz w:val="32"/>
          <w:szCs w:val="32"/>
          <w:shd w:val="clear" w:color="auto" w:fill="auto"/>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left="0" w:right="0" w:firstLine="0" w:firstLineChars="0"/>
        <w:jc w:val="left"/>
        <w:textAlignment w:val="auto"/>
        <w:rPr>
          <w:rFonts w:hint="eastAsia" w:ascii="仿宋" w:hAnsi="仿宋" w:eastAsia="仿宋" w:cs="仿宋"/>
          <w:b w:val="0"/>
          <w:bCs w:val="0"/>
          <w:i w:val="0"/>
          <w:iCs w:val="0"/>
          <w:caps w:val="0"/>
          <w:spacing w:val="0"/>
          <w:kern w:val="2"/>
          <w:sz w:val="32"/>
          <w:szCs w:val="32"/>
          <w:shd w:val="clear"/>
          <w:lang w:val="en-US" w:eastAsia="zh-CN" w:bidi="ar"/>
        </w:rPr>
      </w:pPr>
      <w:r>
        <w:rPr>
          <w:rFonts w:hint="eastAsia" w:ascii="仿宋" w:hAnsi="仿宋" w:eastAsia="仿宋" w:cs="仿宋"/>
          <w:b w:val="0"/>
          <w:bCs w:val="0"/>
          <w:i w:val="0"/>
          <w:iCs w:val="0"/>
          <w:caps w:val="0"/>
          <w:color w:val="auto"/>
          <w:spacing w:val="0"/>
          <w:kern w:val="2"/>
          <w:sz w:val="32"/>
          <w:szCs w:val="32"/>
          <w:shd w:val="clear" w:color="auto" w:fill="auto"/>
          <w:lang w:val="en-US" w:eastAsia="zh-CN" w:bidi="ar"/>
        </w:rPr>
        <w:t>注：灰色为删除，黑体</w:t>
      </w:r>
      <w:r>
        <w:rPr>
          <w:rFonts w:hint="eastAsia" w:ascii="仿宋" w:hAnsi="仿宋" w:eastAsia="仿宋" w:cs="仿宋"/>
          <w:b w:val="0"/>
          <w:bCs w:val="0"/>
          <w:i w:val="0"/>
          <w:iCs w:val="0"/>
          <w:caps w:val="0"/>
          <w:spacing w:val="0"/>
          <w:kern w:val="2"/>
          <w:sz w:val="32"/>
          <w:szCs w:val="32"/>
          <w:shd w:val="clear"/>
          <w:lang w:val="en-US" w:eastAsia="zh-CN" w:bidi="ar"/>
        </w:rPr>
        <w:t>为</w:t>
      </w:r>
      <w:r>
        <w:rPr>
          <w:rFonts w:hint="eastAsia" w:ascii="仿宋" w:hAnsi="仿宋" w:eastAsia="仿宋" w:cs="仿宋"/>
          <w:b w:val="0"/>
          <w:bCs w:val="0"/>
          <w:i w:val="0"/>
          <w:iCs w:val="0"/>
          <w:caps w:val="0"/>
          <w:color w:val="auto"/>
          <w:spacing w:val="0"/>
          <w:kern w:val="2"/>
          <w:sz w:val="32"/>
          <w:szCs w:val="32"/>
          <w:shd w:val="clear" w:color="auto" w:fill="auto"/>
          <w:lang w:val="en-US" w:eastAsia="zh-CN" w:bidi="ar"/>
        </w:rPr>
        <w:t>新增或修改</w:t>
      </w:r>
      <w:r>
        <w:rPr>
          <w:rFonts w:hint="eastAsia" w:ascii="仿宋" w:hAnsi="仿宋" w:eastAsia="仿宋" w:cs="仿宋"/>
          <w:b w:val="0"/>
          <w:bCs w:val="0"/>
          <w:i w:val="0"/>
          <w:iCs w:val="0"/>
          <w:caps w:val="0"/>
          <w:spacing w:val="0"/>
          <w:kern w:val="2"/>
          <w:sz w:val="32"/>
          <w:szCs w:val="32"/>
          <w:shd w:val="clear"/>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left="0" w:right="0" w:firstLine="0" w:firstLineChars="0"/>
        <w:jc w:val="left"/>
        <w:textAlignment w:val="auto"/>
        <w:rPr>
          <w:rFonts w:hint="eastAsia" w:ascii="仿宋" w:hAnsi="仿宋" w:eastAsia="仿宋" w:cs="仿宋"/>
          <w:b w:val="0"/>
          <w:bCs w:val="0"/>
          <w:i w:val="0"/>
          <w:iCs w:val="0"/>
          <w:caps w:val="0"/>
          <w:color w:val="auto"/>
          <w:spacing w:val="0"/>
          <w:kern w:val="2"/>
          <w:sz w:val="32"/>
          <w:szCs w:val="32"/>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7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国家矿山安全监察局行政复议及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7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行政应诉办法（修订草案）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黑体" w:hAnsi="黑体" w:eastAsia="黑体" w:cs="黑体"/>
          <w:b/>
          <w:bCs/>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kern w:val="0"/>
          <w:sz w:val="32"/>
          <w:szCs w:val="32"/>
          <w:shd w:val="clear" w:color="auto" w:fill="FFFFFF"/>
          <w:lang w:val="en-US" w:eastAsia="zh-CN" w:bidi="ar"/>
        </w:rPr>
        <w:t>第一章　总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第一条</w:t>
      </w:r>
      <w:r>
        <w:rPr>
          <w:rFonts w:hint="eastAsia" w:ascii="仿宋" w:hAnsi="仿宋" w:eastAsia="仿宋" w:cs="仿宋"/>
          <w:sz w:val="32"/>
          <w:szCs w:val="32"/>
          <w:vertAlign w:val="baseline"/>
          <w:lang w:val="en-US" w:eastAsia="zh-CN"/>
        </w:rPr>
        <w:t xml:space="preserve">  为规范国家矿山安全监察局行政复议和行政应诉工作，</w:t>
      </w:r>
      <w:r>
        <w:rPr>
          <w:rFonts w:hint="eastAsia" w:ascii="黑体" w:hAnsi="黑体" w:eastAsia="黑体" w:cs="黑体"/>
          <w:sz w:val="32"/>
          <w:szCs w:val="32"/>
          <w:vertAlign w:val="baseline"/>
          <w:lang w:val="en-US" w:eastAsia="zh-CN"/>
        </w:rPr>
        <w:t>充分发挥行政复议化解行政争议的主渠道作用，保护公民、法人和其他组织的合法权益，</w:t>
      </w:r>
      <w:r>
        <w:rPr>
          <w:rFonts w:hint="eastAsia" w:ascii="仿宋" w:hAnsi="仿宋" w:eastAsia="仿宋" w:cs="仿宋"/>
          <w:sz w:val="32"/>
          <w:szCs w:val="32"/>
          <w:vertAlign w:val="baseline"/>
          <w:lang w:val="en-US" w:eastAsia="zh-CN"/>
        </w:rPr>
        <w:t>根据《中华人民共和国行政复议法》《中华人民共和国行政诉讼法》</w:t>
      </w:r>
      <w:r>
        <w:rPr>
          <w:rFonts w:hint="eastAsia" w:ascii="仿宋" w:hAnsi="仿宋" w:eastAsia="仿宋" w:cs="仿宋"/>
          <w:strike w:val="0"/>
          <w:dstrike w:val="0"/>
          <w:sz w:val="32"/>
          <w:szCs w:val="32"/>
          <w:bdr w:val="single" w:sz="0" w:space="0"/>
          <w:shd w:val="clear" w:color="FFFFFF" w:fill="D9D9D9"/>
          <w:vertAlign w:val="baseline"/>
          <w:lang w:val="en-US" w:eastAsia="zh-CN"/>
        </w:rPr>
        <w:t>、《中华人民共和国行政复议法实施条例》</w:t>
      </w:r>
      <w:r>
        <w:rPr>
          <w:rFonts w:hint="eastAsia" w:ascii="仿宋" w:hAnsi="仿宋" w:eastAsia="仿宋" w:cs="仿宋"/>
          <w:strike w:val="0"/>
          <w:dstrike w:val="0"/>
          <w:sz w:val="32"/>
          <w:szCs w:val="32"/>
          <w:u w:val="none"/>
          <w:bdr w:val="single" w:sz="0" w:space="0"/>
          <w:shd w:val="clear" w:color="FFFFFF" w:fill="D9D9D9"/>
          <w:vertAlign w:val="baseline"/>
          <w:lang w:val="en-US" w:eastAsia="zh-CN"/>
        </w:rPr>
        <w:t>及其他有</w:t>
      </w:r>
      <w:r>
        <w:rPr>
          <w:rFonts w:hint="eastAsia" w:ascii="仿宋" w:hAnsi="仿宋" w:eastAsia="仿宋" w:cs="仿宋"/>
          <w:strike w:val="0"/>
          <w:dstrike w:val="0"/>
          <w:sz w:val="32"/>
          <w:szCs w:val="32"/>
          <w:bdr w:val="single" w:sz="0" w:space="0"/>
          <w:shd w:val="clear" w:color="FFFFFF" w:fill="D9D9D9"/>
          <w:vertAlign w:val="baseline"/>
          <w:lang w:val="en-US" w:eastAsia="zh-CN"/>
        </w:rPr>
        <w:t>关</w:t>
      </w:r>
      <w:r>
        <w:rPr>
          <w:rFonts w:hint="eastAsia" w:ascii="仿宋" w:hAnsi="仿宋" w:eastAsia="仿宋" w:cs="仿宋"/>
          <w:strike w:val="0"/>
          <w:dstrike w:val="0"/>
          <w:sz w:val="32"/>
          <w:szCs w:val="32"/>
          <w:u w:val="none"/>
          <w:vertAlign w:val="baseline"/>
          <w:lang w:val="en-US" w:eastAsia="zh-CN"/>
        </w:rPr>
        <w:t>法律、行政法规</w:t>
      </w:r>
      <w:r>
        <w:rPr>
          <w:rFonts w:hint="eastAsia" w:ascii="黑体" w:hAnsi="黑体" w:eastAsia="黑体" w:cs="黑体"/>
          <w:strike w:val="0"/>
          <w:dstrike w:val="0"/>
          <w:sz w:val="32"/>
          <w:szCs w:val="32"/>
          <w:u w:val="none"/>
          <w:vertAlign w:val="baseline"/>
          <w:lang w:val="en-US" w:eastAsia="zh-CN"/>
        </w:rPr>
        <w:t>和</w:t>
      </w:r>
      <w:r>
        <w:rPr>
          <w:rFonts w:hint="eastAsia" w:ascii="黑体" w:hAnsi="黑体" w:eastAsia="黑体" w:cs="黑体"/>
          <w:sz w:val="32"/>
          <w:szCs w:val="32"/>
          <w:vertAlign w:val="baseline"/>
          <w:lang w:val="en-US" w:eastAsia="zh-CN"/>
        </w:rPr>
        <w:t>《应急管理部行政复议和行政应诉工作规定》等相关</w:t>
      </w:r>
      <w:r>
        <w:rPr>
          <w:rFonts w:hint="eastAsia" w:ascii="黑体" w:hAnsi="黑体" w:eastAsia="黑体" w:cs="黑体"/>
          <w:strike w:val="0"/>
          <w:dstrike w:val="0"/>
          <w:sz w:val="32"/>
          <w:szCs w:val="32"/>
          <w:u w:val="none"/>
          <w:vertAlign w:val="baseline"/>
          <w:lang w:val="en-US" w:eastAsia="zh-CN"/>
        </w:rPr>
        <w:t>规定</w:t>
      </w:r>
      <w:r>
        <w:rPr>
          <w:rFonts w:hint="eastAsia" w:ascii="仿宋" w:hAnsi="仿宋" w:eastAsia="仿宋" w:cs="仿宋"/>
          <w:sz w:val="32"/>
          <w:szCs w:val="32"/>
          <w:vertAlign w:val="baseline"/>
          <w:lang w:val="en-US" w:eastAsia="zh-CN"/>
        </w:rPr>
        <w:t>，制定本办法。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第二条</w:t>
      </w:r>
      <w:r>
        <w:rPr>
          <w:rFonts w:hint="eastAsia" w:ascii="仿宋" w:hAnsi="仿宋" w:eastAsia="仿宋" w:cs="仿宋"/>
          <w:sz w:val="32"/>
          <w:szCs w:val="32"/>
          <w:vertAlign w:val="baseline"/>
          <w:lang w:val="en-US" w:eastAsia="zh-CN"/>
        </w:rPr>
        <w:t xml:space="preserve">  国家矿山安全监察局办理行政复议案件和行政应诉事项，适用本办法。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第三条</w:t>
      </w:r>
      <w:r>
        <w:rPr>
          <w:rFonts w:hint="eastAsia" w:ascii="仿宋" w:hAnsi="仿宋" w:eastAsia="仿宋" w:cs="仿宋"/>
          <w:sz w:val="32"/>
          <w:szCs w:val="32"/>
          <w:vertAlign w:val="baseline"/>
          <w:lang w:val="en-US" w:eastAsia="zh-CN"/>
        </w:rPr>
        <w:t xml:space="preserve">  公民、法人</w:t>
      </w:r>
      <w:r>
        <w:rPr>
          <w:rFonts w:hint="eastAsia" w:ascii="黑体" w:hAnsi="黑体" w:eastAsia="黑体" w:cs="黑体"/>
          <w:sz w:val="32"/>
          <w:szCs w:val="32"/>
          <w:vertAlign w:val="baseline"/>
          <w:lang w:val="en-US" w:eastAsia="zh-CN"/>
        </w:rPr>
        <w:t>或者</w:t>
      </w:r>
      <w:r>
        <w:rPr>
          <w:rFonts w:hint="eastAsia" w:ascii="仿宋" w:hAnsi="仿宋" w:eastAsia="仿宋" w:cs="仿宋"/>
          <w:sz w:val="32"/>
          <w:szCs w:val="32"/>
          <w:vertAlign w:val="baseline"/>
          <w:lang w:val="en-US" w:eastAsia="zh-CN"/>
        </w:rPr>
        <w:t>其他组织认为国家矿山安全监察局或者国家矿山安全监察局省级局作出的行政行为侵犯其合法权益，可以向国家矿山安全监察局申请行政复议。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第四条</w:t>
      </w:r>
      <w:r>
        <w:rPr>
          <w:rFonts w:hint="eastAsia" w:ascii="仿宋" w:hAnsi="仿宋" w:eastAsia="仿宋" w:cs="仿宋"/>
          <w:sz w:val="32"/>
          <w:szCs w:val="32"/>
          <w:vertAlign w:val="baseline"/>
          <w:lang w:val="en-US" w:eastAsia="zh-CN"/>
        </w:rPr>
        <w:t xml:space="preserve">  政策法规和科技装备司（以下简称法规科技司）是国家矿山安全监察局的行政复议机构，具体承办行政复议案件，</w:t>
      </w:r>
      <w:r>
        <w:rPr>
          <w:rFonts w:hint="eastAsia" w:ascii="黑体" w:hAnsi="黑体" w:eastAsia="黑体" w:cs="黑体"/>
          <w:sz w:val="32"/>
          <w:szCs w:val="32"/>
          <w:vertAlign w:val="baseline"/>
          <w:lang w:val="en-US" w:eastAsia="zh-CN"/>
        </w:rPr>
        <w:t>办</w:t>
      </w:r>
      <w:r>
        <w:rPr>
          <w:rFonts w:hint="eastAsia" w:ascii="仿宋" w:hAnsi="仿宋" w:eastAsia="仿宋" w:cs="仿宋"/>
          <w:sz w:val="32"/>
          <w:szCs w:val="32"/>
          <w:vertAlign w:val="baseline"/>
          <w:lang w:val="en-US" w:eastAsia="zh-CN"/>
        </w:rPr>
        <w:t>理行政应诉事项，并履行下列职责：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（一）审查被申请行政复议的</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行政行为是否合法，</w:t>
      </w:r>
      <w:r>
        <w:rPr>
          <w:rFonts w:hint="eastAsia" w:ascii="黑体" w:hAnsi="黑体" w:eastAsia="黑体" w:cs="黑体"/>
          <w:sz w:val="32"/>
          <w:szCs w:val="32"/>
          <w:vertAlign w:val="baseline"/>
          <w:lang w:val="en-US" w:eastAsia="zh-CN"/>
        </w:rPr>
        <w:t>组织行政复议听证，</w:t>
      </w:r>
      <w:r>
        <w:rPr>
          <w:rFonts w:hint="eastAsia" w:ascii="仿宋" w:hAnsi="仿宋" w:eastAsia="仿宋" w:cs="仿宋"/>
          <w:sz w:val="32"/>
          <w:szCs w:val="32"/>
          <w:vertAlign w:val="baseline"/>
          <w:lang w:val="en-US" w:eastAsia="zh-CN"/>
        </w:rPr>
        <w:t>拟订行政复议决定</w:t>
      </w:r>
      <w:r>
        <w:rPr>
          <w:rFonts w:hint="eastAsia" w:ascii="黑体" w:hAnsi="黑体" w:eastAsia="黑体" w:cs="黑体"/>
          <w:sz w:val="32"/>
          <w:szCs w:val="32"/>
          <w:highlight w:val="none"/>
          <w:vertAlign w:val="baseline"/>
          <w:lang w:val="en-US" w:eastAsia="zh-CN"/>
        </w:rPr>
        <w:t>、行政复议意见书</w:t>
      </w:r>
      <w:r>
        <w:rPr>
          <w:rFonts w:hint="eastAsia" w:ascii="仿宋" w:hAnsi="仿宋" w:eastAsia="仿宋" w:cs="仿宋"/>
          <w:sz w:val="32"/>
          <w:szCs w:val="32"/>
          <w:vertAlign w:val="baseli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（二）牵头办理因不服国家矿山安全监察局</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行政行为和行政复议决定提起行政诉讼的应诉事项；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（三）向有关组织和人员调查取证，查阅有关文件和资料；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（四）参与组织培训矿山安全监察系统行政复议及行政应诉工作人员、法律顾问、公职律师，组织交流行政复议及行政应诉工作经验；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（五）抽调国家矿山安全监察局省级局行政复议及行政应诉工作人员、法律顾问、公职律师协助办理行政复议及行政应诉事项；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（六）办理行政复议和行政应诉工作的其他相关事项。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第五条</w:t>
      </w:r>
      <w:r>
        <w:rPr>
          <w:rFonts w:hint="eastAsia" w:ascii="仿宋" w:hAnsi="仿宋" w:eastAsia="仿宋" w:cs="仿宋"/>
          <w:sz w:val="32"/>
          <w:szCs w:val="32"/>
          <w:vertAlign w:val="baseline"/>
          <w:lang w:val="en-US" w:eastAsia="zh-CN"/>
        </w:rPr>
        <w:t xml:space="preserve">  其他司应当协助法规科技司审理或者办理行政复议和行政诉讼事项。具体履行下列职责：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vertAlign w:val="baseline"/>
          <w:lang w:val="en-US" w:eastAsia="zh-CN"/>
        </w:rPr>
      </w:pPr>
      <w:r>
        <w:rPr>
          <w:rFonts w:hint="eastAsia" w:ascii="仿宋" w:hAnsi="仿宋" w:eastAsia="仿宋" w:cs="仿宋"/>
          <w:sz w:val="32"/>
          <w:szCs w:val="32"/>
          <w:highlight w:val="none"/>
          <w:vertAlign w:val="baseline"/>
          <w:lang w:val="en-US" w:eastAsia="zh-CN"/>
        </w:rPr>
        <w:t>（一）向法规科技司提交由本司以国家矿山安全监察局名义作出、引起行政复议和行政诉讼的</w:t>
      </w:r>
      <w:r>
        <w:rPr>
          <w:rFonts w:hint="eastAsia" w:ascii="仿宋" w:hAnsi="仿宋" w:eastAsia="仿宋" w:cs="仿宋"/>
          <w:strike w:val="0"/>
          <w:dstrike w:val="0"/>
          <w:sz w:val="32"/>
          <w:szCs w:val="32"/>
          <w:highlight w:val="none"/>
          <w:bdr w:val="single" w:sz="4" w:space="0"/>
          <w:shd w:val="clear" w:color="FFFFFF" w:fill="D9D9D9"/>
          <w:vertAlign w:val="baseline"/>
          <w:lang w:val="en-US" w:eastAsia="zh-CN"/>
        </w:rPr>
        <w:t>具体</w:t>
      </w:r>
      <w:r>
        <w:rPr>
          <w:rFonts w:hint="eastAsia" w:ascii="仿宋" w:hAnsi="仿宋" w:eastAsia="仿宋" w:cs="仿宋"/>
          <w:sz w:val="32"/>
          <w:szCs w:val="32"/>
          <w:highlight w:val="none"/>
          <w:vertAlign w:val="baseline"/>
          <w:lang w:val="en-US" w:eastAsia="zh-CN"/>
        </w:rPr>
        <w:t>行政行为的事实和法律依据等有关材料，并提出书面答复意见和处理建议；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（二）参与办理涉及本司业务范围的行政复议和行政应诉案件；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（三）协助法规科技司办理其他与本司主管业务有关的行政复议和行政应诉事项。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第六条</w:t>
      </w:r>
      <w:r>
        <w:rPr>
          <w:rFonts w:hint="eastAsia" w:ascii="仿宋" w:hAnsi="仿宋" w:eastAsia="仿宋" w:cs="仿宋"/>
          <w:sz w:val="32"/>
          <w:szCs w:val="32"/>
          <w:vertAlign w:val="baseline"/>
          <w:lang w:val="en-US" w:eastAsia="zh-CN"/>
        </w:rPr>
        <w:t xml:space="preserve">  国家矿山安全监察局依法配备与履行行政复议和行政应诉职责相适应的工作人员，并保证办案工作经费、场所、调查取证装备及其他必要的工作条件。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初次从事行政复议的人员，应当通过国家统一法律职业资格考试取得法律职业资格，</w:t>
      </w:r>
      <w:r>
        <w:rPr>
          <w:rFonts w:hint="eastAsia" w:ascii="黑体" w:hAnsi="黑体" w:eastAsia="黑体" w:cs="黑体"/>
          <w:sz w:val="32"/>
          <w:szCs w:val="32"/>
          <w:vertAlign w:val="baseline"/>
          <w:lang w:val="en-US" w:eastAsia="zh-CN"/>
        </w:rPr>
        <w:t>参加统一职前培训。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第七条</w:t>
      </w:r>
      <w:r>
        <w:rPr>
          <w:rFonts w:hint="eastAsia" w:ascii="仿宋" w:hAnsi="仿宋" w:eastAsia="仿宋" w:cs="仿宋"/>
          <w:sz w:val="32"/>
          <w:szCs w:val="32"/>
          <w:vertAlign w:val="baseline"/>
          <w:lang w:val="en-US" w:eastAsia="zh-CN"/>
        </w:rPr>
        <w:t>　下列行政复议和行政应诉文书应当加盖国家矿山安全监察局印章：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（一）不予受理行政复议申请决定书；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（二）停止执行</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行政行为通知书；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（三）规范性文件审查转送函；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（四）同意撤回行政复议申请通知书；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（五）行政复议中止通知书；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（六）行政复议终止决定书；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（七）行政复议决定书；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（八）诉讼代理人授权委托书；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（九）行政诉讼答辩状；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（十）其他应当加盖国家矿山安全监察局印章的文书。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本条前款规定以外的其他行政复议和行政应诉文书，可以加盖法规科技司印章。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第二章　行政复议的申请和受理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第八条</w:t>
      </w:r>
      <w:r>
        <w:rPr>
          <w:rFonts w:hint="eastAsia" w:ascii="仿宋" w:hAnsi="仿宋" w:eastAsia="仿宋" w:cs="仿宋"/>
          <w:sz w:val="32"/>
          <w:szCs w:val="32"/>
          <w:vertAlign w:val="baseline"/>
          <w:lang w:val="en-US" w:eastAsia="zh-CN"/>
        </w:rPr>
        <w:t xml:space="preserve">  综合司等司收到</w:t>
      </w:r>
      <w:r>
        <w:rPr>
          <w:rFonts w:hint="eastAsia" w:ascii="黑体" w:hAnsi="黑体" w:eastAsia="黑体" w:cs="黑体"/>
          <w:sz w:val="32"/>
          <w:szCs w:val="32"/>
          <w:vertAlign w:val="baseline"/>
          <w:lang w:val="en-US" w:eastAsia="zh-CN"/>
        </w:rPr>
        <w:t>公民、法人或者其他组织</w:t>
      </w:r>
      <w:r>
        <w:rPr>
          <w:rFonts w:hint="eastAsia" w:ascii="仿宋" w:hAnsi="仿宋" w:eastAsia="仿宋" w:cs="仿宋"/>
          <w:sz w:val="32"/>
          <w:szCs w:val="32"/>
          <w:vertAlign w:val="baseline"/>
          <w:lang w:val="en-US" w:eastAsia="zh-CN"/>
        </w:rPr>
        <w:t>向国家矿山安全监察局提出的行政复议申请后，应于一个工作日内转交法规科技司。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第九条</w:t>
      </w:r>
      <w:r>
        <w:rPr>
          <w:rFonts w:hint="eastAsia" w:ascii="仿宋" w:hAnsi="仿宋" w:eastAsia="仿宋" w:cs="仿宋"/>
          <w:sz w:val="32"/>
          <w:szCs w:val="32"/>
          <w:vertAlign w:val="baseline"/>
          <w:lang w:val="en-US" w:eastAsia="zh-CN"/>
        </w:rPr>
        <w:t xml:space="preserve">  申请人以书面方式申请行政复议的，应当提交行政复议申请书。复议申请书应当由申请人</w:t>
      </w:r>
      <w:r>
        <w:rPr>
          <w:rFonts w:hint="eastAsia" w:ascii="仿宋" w:hAnsi="仿宋" w:eastAsia="仿宋" w:cs="仿宋"/>
          <w:sz w:val="32"/>
          <w:szCs w:val="32"/>
          <w:bdr w:val="single" w:sz="0" w:space="0"/>
          <w:shd w:val="clear" w:color="FFFFFF" w:fill="D9D9D9"/>
          <w:vertAlign w:val="baseline"/>
          <w:lang w:val="en-US" w:eastAsia="zh-CN"/>
        </w:rPr>
        <w:t>或者申请人的法定代表人</w:t>
      </w:r>
      <w:r>
        <w:rPr>
          <w:rFonts w:hint="eastAsia" w:ascii="仿宋" w:hAnsi="仿宋" w:eastAsia="仿宋" w:cs="仿宋"/>
          <w:sz w:val="32"/>
          <w:szCs w:val="32"/>
          <w:vertAlign w:val="baseline"/>
          <w:lang w:val="en-US" w:eastAsia="zh-CN"/>
        </w:rPr>
        <w:t>签字，申请人为法人的应当加盖法人印章。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申请人为自然人的，应当提交身份证复印件；申请人为法人或者其他组织的，应当提交有效营业执照或者其他有效证件的复印件、法定代表人身份证明等。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textAlignment w:val="auto"/>
        <w:rPr>
          <w:rFonts w:ascii="宋体" w:hAnsi="宋体" w:eastAsia="仿宋_GB2312"/>
          <w:color w:val="0000FF"/>
          <w:sz w:val="32"/>
        </w:rPr>
      </w:pPr>
      <w:r>
        <w:rPr>
          <w:rFonts w:hint="eastAsia" w:ascii="仿宋" w:hAnsi="仿宋" w:eastAsia="仿宋" w:cs="仿宋"/>
          <w:b/>
          <w:bCs/>
          <w:sz w:val="32"/>
          <w:szCs w:val="32"/>
          <w:vertAlign w:val="baseline"/>
          <w:lang w:val="en-US" w:eastAsia="zh-CN"/>
        </w:rPr>
        <w:t>第十条</w:t>
      </w:r>
      <w:r>
        <w:rPr>
          <w:rFonts w:hint="eastAsia" w:ascii="仿宋" w:hAnsi="仿宋" w:eastAsia="仿宋" w:cs="仿宋"/>
          <w:sz w:val="32"/>
          <w:szCs w:val="32"/>
          <w:vertAlign w:val="baseline"/>
          <w:lang w:val="en-US" w:eastAsia="zh-CN"/>
        </w:rPr>
        <w:t>　申请人、第三人委托代理人</w:t>
      </w:r>
      <w:r>
        <w:rPr>
          <w:rFonts w:hint="eastAsia" w:ascii="黑体" w:hAnsi="黑体" w:eastAsia="黑体" w:cs="黑体"/>
          <w:sz w:val="32"/>
          <w:szCs w:val="32"/>
          <w:vertAlign w:val="baseline"/>
          <w:lang w:val="en-US" w:eastAsia="zh-CN"/>
        </w:rPr>
        <w:t>的，</w:t>
      </w:r>
      <w:r>
        <w:rPr>
          <w:rFonts w:hint="eastAsia" w:ascii="黑体" w:hAnsi="黑体" w:eastAsia="黑体" w:cs="黑体"/>
          <w:color w:val="auto"/>
          <w:sz w:val="32"/>
        </w:rPr>
        <w:t>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第十一条</w:t>
      </w:r>
      <w:r>
        <w:rPr>
          <w:rFonts w:hint="eastAsia" w:ascii="仿宋" w:hAnsi="仿宋" w:eastAsia="仿宋" w:cs="仿宋"/>
          <w:sz w:val="32"/>
          <w:szCs w:val="32"/>
          <w:vertAlign w:val="baseline"/>
          <w:lang w:val="en-US" w:eastAsia="zh-CN"/>
        </w:rPr>
        <w:t>　行政复议申请材料不齐全或者表述不清楚的，法规科技司</w:t>
      </w:r>
      <w:r>
        <w:rPr>
          <w:rFonts w:hint="eastAsia" w:ascii="黑体" w:hAnsi="黑体" w:eastAsia="黑体" w:cs="黑体"/>
          <w:sz w:val="32"/>
          <w:szCs w:val="32"/>
          <w:vertAlign w:val="baseline"/>
          <w:lang w:val="en-US" w:eastAsia="zh-CN"/>
        </w:rPr>
        <w:t>应当</w:t>
      </w:r>
      <w:r>
        <w:rPr>
          <w:rFonts w:hint="eastAsia" w:ascii="仿宋" w:hAnsi="仿宋" w:eastAsia="仿宋" w:cs="仿宋"/>
          <w:sz w:val="32"/>
          <w:szCs w:val="32"/>
          <w:vertAlign w:val="baseline"/>
          <w:lang w:val="en-US" w:eastAsia="zh-CN"/>
        </w:rPr>
        <w:t>自收到该行政复议申请之日起五个工作日内一次性书面通知申请人补正。有下列情形之一的，属于行政复议申请材料不齐全或者表述不清楚</w:t>
      </w:r>
      <w:r>
        <w:rPr>
          <w:rFonts w:hint="eastAsia" w:ascii="黑体" w:hAnsi="黑体" w:eastAsia="黑体" w:cs="黑体"/>
          <w:sz w:val="32"/>
          <w:szCs w:val="32"/>
          <w:vertAlign w:val="baseline"/>
          <w:lang w:val="en-US" w:eastAsia="zh-CN"/>
        </w:rPr>
        <w:t>，</w:t>
      </w:r>
      <w:r>
        <w:rPr>
          <w:rFonts w:hint="eastAsia" w:ascii="黑体" w:hAnsi="黑体" w:eastAsia="黑体" w:cs="黑体"/>
          <w:color w:val="auto"/>
          <w:sz w:val="32"/>
          <w:szCs w:val="32"/>
        </w:rPr>
        <w:t>无法判断行政复议申请是否符合《中华人民共和国行政复议法》规定的受理条件</w:t>
      </w:r>
      <w:r>
        <w:rPr>
          <w:rFonts w:hint="eastAsia" w:ascii="仿宋" w:hAnsi="仿宋" w:eastAsia="仿宋" w:cs="仿宋"/>
          <w:sz w:val="32"/>
          <w:szCs w:val="32"/>
          <w:vertAlign w:val="baseli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（一）未按规定提供申请人基本情况；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（二）无明确的被申请人；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（三）行政复议请求、事实和理由不具体、不明确；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（四）委托代理手续不全或者权限不明确；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（五）未提供证明材料或者证明材料不具体、不明确；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（六）其他行政复议申请材料不齐全或者表述不清楚的情形。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vertAlign w:val="baseline"/>
          <w:lang w:val="en-US" w:eastAsia="zh-CN"/>
        </w:rPr>
        <w:t>第十二条</w:t>
      </w:r>
      <w:r>
        <w:rPr>
          <w:rFonts w:hint="eastAsia" w:ascii="仿宋" w:hAnsi="仿宋" w:eastAsia="仿宋" w:cs="仿宋"/>
          <w:sz w:val="32"/>
          <w:szCs w:val="32"/>
          <w:vertAlign w:val="baseline"/>
          <w:lang w:val="en-US" w:eastAsia="zh-CN"/>
        </w:rPr>
        <w:t>　法规科技司收到行政复议申请后，应当在五个工作日内进行审查，</w:t>
      </w:r>
      <w:r>
        <w:rPr>
          <w:rFonts w:hint="eastAsia" w:ascii="黑体" w:hAnsi="黑体" w:eastAsia="黑体" w:cs="黑体"/>
          <w:sz w:val="32"/>
          <w:szCs w:val="32"/>
          <w:vertAlign w:val="baseline"/>
          <w:lang w:val="en-US" w:eastAsia="zh-CN"/>
        </w:rPr>
        <w:t>对符合下列规定的，国家矿山安全监察局应当予以受理：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（一）有明确的申请人和符合本法规定的被申请人；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（二）申请人与被申请行政复议的行政行为有利害关系；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（三）有具体的行政复议请求和理由；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（四）在法定申请期限内提出；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（五）属于《中华人民共和国行政复议法》规定的行政复议范围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（六）属于国家矿山安全监察局的管辖范围；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（七）国家矿山安全监察局未受理过该申请人就同一行政行为提出的行政复议申请，并且人民法院未受理或该申请人就同一行政行为提起的行政诉讼。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对不符合前款规定的行政复议申请，法规科技司在审查期限内提出不予受理的意见</w:t>
      </w:r>
      <w:r>
        <w:rPr>
          <w:rFonts w:hint="eastAsia" w:ascii="黑体" w:hAnsi="黑体" w:eastAsia="黑体" w:cs="黑体"/>
          <w:sz w:val="32"/>
          <w:szCs w:val="32"/>
          <w:vertAlign w:val="baseline"/>
          <w:lang w:val="en-US" w:eastAsia="zh-CN"/>
        </w:rPr>
        <w:t>并说明理由</w:t>
      </w:r>
      <w:r>
        <w:rPr>
          <w:rFonts w:hint="eastAsia" w:ascii="仿宋" w:hAnsi="仿宋" w:eastAsia="仿宋" w:cs="仿宋"/>
          <w:sz w:val="32"/>
          <w:szCs w:val="32"/>
          <w:vertAlign w:val="baseline"/>
          <w:lang w:val="en-US" w:eastAsia="zh-CN"/>
        </w:rPr>
        <w:t>，报经局领导批准后，制作《不予受理行政复议申请决定书》，送达申请人；对不属于国家矿山安全监察局管辖的行政复议申请，应当告知申请人向有</w:t>
      </w:r>
      <w:r>
        <w:rPr>
          <w:rFonts w:hint="eastAsia" w:ascii="黑体" w:hAnsi="黑体" w:eastAsia="黑体" w:cs="黑体"/>
          <w:sz w:val="32"/>
          <w:szCs w:val="32"/>
          <w:vertAlign w:val="baseline"/>
          <w:lang w:val="en-US" w:eastAsia="zh-CN"/>
        </w:rPr>
        <w:t>管辖权的</w:t>
      </w:r>
      <w:r>
        <w:rPr>
          <w:rFonts w:hint="eastAsia" w:ascii="仿宋" w:hAnsi="仿宋" w:eastAsia="仿宋" w:cs="仿宋"/>
          <w:sz w:val="32"/>
          <w:szCs w:val="32"/>
          <w:vertAlign w:val="baseline"/>
          <w:lang w:val="en-US" w:eastAsia="zh-CN"/>
        </w:rPr>
        <w:t>行政机关提出。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第十三条  有下列</w:t>
      </w:r>
      <w:r>
        <w:rPr>
          <w:rFonts w:hint="eastAsia" w:ascii="仿宋" w:hAnsi="仿宋" w:eastAsia="仿宋" w:cs="仿宋"/>
          <w:sz w:val="32"/>
          <w:szCs w:val="32"/>
        </w:rPr>
        <w:t>情况之一的，</w:t>
      </w:r>
      <w:r>
        <w:rPr>
          <w:rFonts w:hint="eastAsia" w:ascii="黑体" w:hAnsi="黑体" w:eastAsia="黑体" w:cs="黑体"/>
          <w:sz w:val="32"/>
          <w:szCs w:val="32"/>
          <w:lang w:eastAsia="zh-CN"/>
        </w:rPr>
        <w:t>国家矿山安全监察局不予受理：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（一）以行政复议申请名义，提出批评、意见、建议、控告、检举、投诉等信访请求的；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（二）矿山安全监察机构对有权处理的信访事项根据《信访条例》作出的处理、复查、复核和不再受理决定等行为；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（三）法律、行政法规规定不应纳入行政复议范围的其他情形。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第十四条</w:t>
      </w:r>
      <w:r>
        <w:rPr>
          <w:rFonts w:hint="eastAsia" w:ascii="仿宋" w:hAnsi="仿宋" w:eastAsia="仿宋" w:cs="仿宋"/>
          <w:sz w:val="32"/>
          <w:szCs w:val="32"/>
          <w:vertAlign w:val="baseline"/>
          <w:lang w:val="en-US" w:eastAsia="zh-CN"/>
        </w:rPr>
        <w:t>　法规科技司收到申请人反映情况，提出建议、意见或者投诉请求等信访事项，且依法不属于行政复议</w:t>
      </w:r>
      <w:r>
        <w:rPr>
          <w:rFonts w:hint="eastAsia" w:ascii="黑体" w:hAnsi="黑体" w:eastAsia="黑体" w:cs="黑体"/>
          <w:sz w:val="32"/>
          <w:szCs w:val="32"/>
          <w:vertAlign w:val="baseline"/>
          <w:lang w:val="en-US" w:eastAsia="zh-CN"/>
        </w:rPr>
        <w:t>管辖</w:t>
      </w:r>
      <w:r>
        <w:rPr>
          <w:rFonts w:hint="eastAsia" w:ascii="仿宋" w:hAnsi="仿宋" w:eastAsia="仿宋" w:cs="仿宋"/>
          <w:sz w:val="32"/>
          <w:szCs w:val="32"/>
          <w:vertAlign w:val="baseline"/>
          <w:lang w:val="en-US" w:eastAsia="zh-CN"/>
        </w:rPr>
        <w:t>范围的，应当将有关材料转送信访工作机构，告知申请人并做好记录。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第三章　行政复议的审理和决定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vertAlign w:val="baseline"/>
          <w:lang w:val="en-US" w:eastAsia="zh-CN"/>
        </w:rPr>
        <w:t>第十五条</w:t>
      </w:r>
      <w:r>
        <w:rPr>
          <w:rFonts w:hint="eastAsia" w:ascii="仿宋" w:hAnsi="仿宋" w:eastAsia="仿宋" w:cs="仿宋"/>
          <w:sz w:val="32"/>
          <w:szCs w:val="32"/>
          <w:vertAlign w:val="baseline"/>
          <w:lang w:val="en-US" w:eastAsia="zh-CN"/>
        </w:rPr>
        <w:t>　</w:t>
      </w:r>
      <w:r>
        <w:rPr>
          <w:rFonts w:hint="eastAsia" w:ascii="黑体" w:hAnsi="黑体" w:eastAsia="黑体" w:cs="黑体"/>
          <w:sz w:val="32"/>
          <w:szCs w:val="32"/>
          <w:vertAlign w:val="baseline"/>
          <w:lang w:val="en-US" w:eastAsia="zh-CN"/>
        </w:rPr>
        <w:t>国家矿山安全监察局受理行政复议申请后，依照《中华人民共和国行政复议法》适用普通程序或者简易程序进行审理。法规科技司应当指定行政复议人员负责办理该行政复议案件。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增加一条作为第十六条</w:t>
      </w:r>
      <w:r>
        <w:rPr>
          <w:rFonts w:hint="eastAsia" w:ascii="黑体" w:hAnsi="黑体" w:eastAsia="黑体" w:cs="黑体"/>
          <w:sz w:val="32"/>
          <w:szCs w:val="32"/>
          <w:vertAlign w:val="baseline"/>
          <w:lang w:val="en-US" w:eastAsia="zh-CN"/>
        </w:rPr>
        <w:t xml:space="preserve">  适用普通程序审理的案件，法规科技司</w:t>
      </w:r>
      <w:r>
        <w:rPr>
          <w:rFonts w:hint="eastAsia" w:ascii="仿宋" w:hAnsi="仿宋" w:eastAsia="仿宋" w:cs="仿宋"/>
          <w:sz w:val="32"/>
          <w:szCs w:val="32"/>
          <w:vertAlign w:val="baseline"/>
          <w:lang w:val="en-US" w:eastAsia="zh-CN"/>
        </w:rPr>
        <w:t>应当自受理行政复议申请之日起七个工作日内，制作《提出答复通知书》，连同行政复议申请书副本或者行政复议申请笔录复印件发送被申请人。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被申请人是国家矿山安全监察局省级局的，应当自收到《提出答复通知书》之日起十个工作日内提出书面答复，对申请人的复议请求、事实及理由进行答辩，并提交</w:t>
      </w:r>
      <w:r>
        <w:rPr>
          <w:rFonts w:hint="eastAsia" w:ascii="黑体" w:hAnsi="黑体" w:eastAsia="黑体" w:cs="黑体"/>
          <w:sz w:val="32"/>
          <w:szCs w:val="32"/>
          <w:vertAlign w:val="baseline"/>
          <w:lang w:val="en-US" w:eastAsia="zh-CN"/>
        </w:rPr>
        <w:t>作出行政行为</w:t>
      </w:r>
      <w:r>
        <w:rPr>
          <w:rFonts w:hint="eastAsia" w:ascii="仿宋" w:hAnsi="仿宋" w:eastAsia="仿宋" w:cs="仿宋"/>
          <w:sz w:val="32"/>
          <w:szCs w:val="32"/>
          <w:vertAlign w:val="baseline"/>
          <w:lang w:val="en-US" w:eastAsia="zh-CN"/>
        </w:rPr>
        <w:t>的证据、依据和其他有关材料。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被申请人是国家矿山安全监察局的，由承办或者牵头承办行政行为的业务司按照上述要求提出书面答复并提供相关材料，报请局领导同意后报送法规科技司。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难以确定具体行政行为承办机构的，由法规科技司确定。承办机构有异议的，报请局主要负责人确定。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32"/>
          <w:szCs w:val="32"/>
          <w:vertAlign w:val="baseline"/>
          <w:lang w:val="en-US" w:eastAsia="zh-CN"/>
        </w:rPr>
        <w:t xml:space="preserve">    </w:t>
      </w:r>
      <w:r>
        <w:rPr>
          <w:rFonts w:hint="eastAsia" w:ascii="黑体" w:hAnsi="黑体" w:eastAsia="黑体" w:cs="黑体"/>
          <w:sz w:val="32"/>
          <w:szCs w:val="32"/>
          <w:vertAlign w:val="baseline"/>
          <w:lang w:val="en-US" w:eastAsia="zh-CN"/>
        </w:rPr>
        <w:t>法规科技司应当根据案件具体情况选择当面或者通过互联网、电话等方式听取当事人的意见，并将听取的意见记录在案。听取意见由两名以上行政复议工作人员进行，有关业务司派员参加。因当事人原因不能听取意见的，可以书面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vertAlign w:val="baseline"/>
          <w:lang w:val="en-US" w:eastAsia="zh-CN"/>
        </w:rPr>
        <w:t>增加一条作为第十七条</w:t>
      </w:r>
      <w:r>
        <w:rPr>
          <w:rFonts w:hint="eastAsia" w:ascii="黑体" w:hAnsi="黑体" w:eastAsia="黑体" w:cs="黑体"/>
          <w:sz w:val="32"/>
          <w:szCs w:val="32"/>
          <w:vertAlign w:val="baseline"/>
          <w:lang w:val="en-US" w:eastAsia="zh-CN"/>
        </w:rPr>
        <w:t xml:space="preserve">  依照行政复议法应当组织听证的案件，按照下列程序进行：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（一）法规科技司应当将听证的时间、地点、拟听证事项和具体要求等提前</w:t>
      </w:r>
      <w:r>
        <w:rPr>
          <w:rFonts w:hint="eastAsia" w:ascii="黑体" w:hAnsi="黑体" w:eastAsia="黑体" w:cs="黑体"/>
          <w:sz w:val="32"/>
          <w:szCs w:val="32"/>
          <w:highlight w:val="none"/>
          <w:vertAlign w:val="baseline"/>
          <w:lang w:val="en-US" w:eastAsia="zh-CN"/>
        </w:rPr>
        <w:t>五个工作日</w:t>
      </w:r>
      <w:r>
        <w:rPr>
          <w:rFonts w:hint="eastAsia" w:ascii="黑体" w:hAnsi="黑体" w:eastAsia="黑体" w:cs="黑体"/>
          <w:sz w:val="32"/>
          <w:szCs w:val="32"/>
          <w:vertAlign w:val="baseline"/>
          <w:lang w:val="en-US" w:eastAsia="zh-CN"/>
        </w:rPr>
        <w:t>通知有关当事人；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行政复议听证人员为不少于3人的单数，由法规科技司确定，并指定一名行政复议人员任主持人，两名以上行政复议人员任听证员，一名记录员制作听证笔录。当事人认为主持人、听证员、记录员与案件有直接利害关系要求回避的，由法规科技司决定是否回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（三）举行听证时，被申请人应当提供书面答复及相关证据、依据等材料，证明其行政行为的合法性、适当性，申请人、第三人可以提出证据进行申辩和质证，相关业务司应当派员（处级及以上）参加；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（四）听证应当制作笔录，听证笔录应当经听证参加人确认无误后签字或盖章。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vertAlign w:val="baseline"/>
          <w:lang w:val="en-US" w:eastAsia="zh-CN"/>
        </w:rPr>
        <w:t>增加一条作为第十八条</w:t>
      </w:r>
      <w:r>
        <w:rPr>
          <w:rFonts w:hint="eastAsia" w:ascii="黑体" w:hAnsi="黑体" w:eastAsia="黑体" w:cs="黑体"/>
          <w:sz w:val="32"/>
          <w:szCs w:val="32"/>
          <w:vertAlign w:val="baseline"/>
          <w:lang w:val="en-US" w:eastAsia="zh-CN"/>
        </w:rPr>
        <w:t xml:space="preserve">  适用简易程序审理的案件</w:t>
      </w:r>
      <w:r>
        <w:rPr>
          <w:rFonts w:hint="eastAsia" w:ascii="仿宋" w:hAnsi="仿宋" w:eastAsia="仿宋" w:cs="仿宋"/>
          <w:sz w:val="32"/>
          <w:szCs w:val="32"/>
          <w:vertAlign w:val="baseline"/>
          <w:lang w:val="en-US" w:eastAsia="zh-CN"/>
        </w:rPr>
        <w:t>，</w:t>
      </w:r>
      <w:r>
        <w:rPr>
          <w:rFonts w:hint="eastAsia" w:ascii="黑体" w:hAnsi="黑体" w:eastAsia="黑体" w:cs="黑体"/>
          <w:sz w:val="32"/>
          <w:szCs w:val="32"/>
          <w:vertAlign w:val="baseline"/>
          <w:lang w:val="en-US" w:eastAsia="zh-CN"/>
        </w:rPr>
        <w:t>法规科技司应当自受理行政复议申请之日起三个工作日内，制作《提出答复通知书》，连同行政复议申请书副本或者行政复议申请笔录复印件发送被申请人。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被申请人应当自收到《提出答复通知书》之日起五个工作日内提出书面答复，并提交当初做出行政行为的证据、依据和其他有关材料。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适用简易程序审理的行政复议案件，法规科技司可以指定一名行政复议工作人员书面审理。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 xml:space="preserve">第十九条 </w:t>
      </w:r>
      <w:r>
        <w:rPr>
          <w:rFonts w:hint="eastAsia" w:ascii="黑体" w:hAnsi="黑体" w:eastAsia="黑体" w:cs="黑体"/>
          <w:sz w:val="32"/>
          <w:szCs w:val="32"/>
          <w:vertAlign w:val="baseline"/>
          <w:lang w:val="en-US" w:eastAsia="zh-CN"/>
        </w:rPr>
        <w:t xml:space="preserve"> </w:t>
      </w:r>
      <w:r>
        <w:rPr>
          <w:rFonts w:hint="eastAsia" w:ascii="仿宋" w:hAnsi="仿宋" w:eastAsia="仿宋" w:cs="仿宋"/>
          <w:sz w:val="32"/>
          <w:szCs w:val="32"/>
          <w:vertAlign w:val="baseline"/>
          <w:lang w:val="en-US" w:eastAsia="zh-CN"/>
        </w:rPr>
        <w:t>被申请人提交的书面答复应当载明下列事项，并加盖公章：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（一）作出</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行政行为的基本过程和情况；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（二）作出</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行政行为的事实依据和有关证据材料；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（三）作出</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行政行为所依据的法律、行政法规、规章及规范性文件的文号、具体条款和内容；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（四）对申请人复议请求的意见和理由。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证据材料应当分类编号，对证据材料的来源、证明对象和内容作出说明，在证据材料上签字或者盖章，并注明提交日期。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vertAlign w:val="baseline"/>
          <w:lang w:val="en-US" w:eastAsia="zh-CN"/>
        </w:rPr>
      </w:pPr>
      <w:r>
        <w:rPr>
          <w:rFonts w:hint="eastAsia" w:ascii="仿宋" w:hAnsi="仿宋" w:eastAsia="仿宋" w:cs="仿宋"/>
          <w:b/>
          <w:bCs/>
          <w:sz w:val="32"/>
          <w:szCs w:val="32"/>
          <w:vertAlign w:val="baseline"/>
          <w:lang w:val="en-US" w:eastAsia="zh-CN"/>
        </w:rPr>
        <w:t>增加一条作为第二十条</w:t>
      </w:r>
      <w:r>
        <w:rPr>
          <w:rFonts w:hint="eastAsia" w:ascii="黑体" w:hAnsi="黑体" w:eastAsia="黑体" w:cs="黑体"/>
          <w:sz w:val="32"/>
          <w:szCs w:val="32"/>
          <w:vertAlign w:val="baseline"/>
          <w:lang w:val="en-US" w:eastAsia="zh-CN"/>
        </w:rPr>
        <w:t xml:space="preserve">  国家矿山安全监察局办理行政复议案件，可以依法进行调解。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法规科技司负责组织申请人、被申请人进行调解，相关业务司派员参加。调解应当</w:t>
      </w:r>
      <w:r>
        <w:rPr>
          <w:rFonts w:hint="eastAsia" w:ascii="黑体" w:hAnsi="黑体" w:eastAsia="黑体" w:cs="黑体"/>
          <w:sz w:val="32"/>
          <w:szCs w:val="32"/>
        </w:rPr>
        <w:t>记录调解情况，将调解工作记录、调解协议书等材料立卷归档</w:t>
      </w:r>
      <w:r>
        <w:rPr>
          <w:rFonts w:hint="eastAsia" w:ascii="黑体" w:hAnsi="黑体" w:eastAsia="黑体" w:cs="黑体"/>
          <w:sz w:val="32"/>
          <w:szCs w:val="32"/>
          <w:vertAlign w:val="baseli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黑体" w:hAnsi="黑体" w:eastAsia="黑体" w:cs="黑体"/>
          <w:sz w:val="32"/>
          <w:szCs w:val="32"/>
          <w:vertAlign w:val="baseline"/>
          <w:lang w:val="en-US" w:eastAsia="zh-CN"/>
        </w:rPr>
        <w:t>当事人经调解达成协议的，由法规科技司制作行政复议调解书，</w:t>
      </w:r>
      <w:r>
        <w:rPr>
          <w:rFonts w:hint="eastAsia" w:ascii="黑体" w:hAnsi="黑体" w:eastAsia="黑体" w:cs="黑体"/>
          <w:sz w:val="32"/>
          <w:szCs w:val="32"/>
        </w:rPr>
        <w:t>送有关业务司或者单位征求意见</w:t>
      </w:r>
      <w:r>
        <w:rPr>
          <w:rFonts w:hint="eastAsia" w:ascii="黑体" w:hAnsi="黑体" w:eastAsia="黑体" w:cs="黑体"/>
          <w:sz w:val="32"/>
          <w:szCs w:val="32"/>
          <w:lang w:eastAsia="zh-CN"/>
        </w:rPr>
        <w:t>，</w:t>
      </w:r>
      <w:r>
        <w:rPr>
          <w:rFonts w:hint="eastAsia" w:ascii="黑体" w:hAnsi="黑体" w:eastAsia="黑体" w:cs="黑体"/>
          <w:sz w:val="32"/>
          <w:szCs w:val="32"/>
        </w:rPr>
        <w:t>报请局领导审核同意，</w:t>
      </w:r>
      <w:r>
        <w:rPr>
          <w:rFonts w:hint="eastAsia" w:ascii="黑体" w:hAnsi="黑体" w:eastAsia="黑体" w:cs="黑体"/>
          <w:sz w:val="32"/>
          <w:szCs w:val="32"/>
          <w:lang w:eastAsia="zh-CN"/>
        </w:rPr>
        <w:t>加盖</w:t>
      </w:r>
      <w:r>
        <w:rPr>
          <w:rFonts w:hint="eastAsia" w:ascii="黑体" w:hAnsi="黑体" w:eastAsia="黑体" w:cs="黑体"/>
          <w:sz w:val="32"/>
          <w:szCs w:val="32"/>
          <w:vertAlign w:val="baseline"/>
          <w:lang w:val="en-US" w:eastAsia="zh-CN"/>
        </w:rPr>
        <w:t>国家矿山安全监察局印章，经各方当事人签字或签章后，具有法律效力。</w:t>
      </w:r>
      <w:r>
        <w:rPr>
          <w:rFonts w:hint="eastAsia" w:ascii="黑体" w:hAnsi="黑体" w:eastAsia="黑体" w:cs="黑体"/>
          <w:sz w:val="32"/>
          <w:szCs w:val="32"/>
        </w:rPr>
        <w:t>调解未达成协议或者调解书生效前一方反悔的，</w:t>
      </w:r>
      <w:r>
        <w:rPr>
          <w:rFonts w:hint="eastAsia" w:ascii="黑体" w:hAnsi="黑体" w:eastAsia="黑体" w:cs="黑体"/>
          <w:sz w:val="32"/>
          <w:szCs w:val="32"/>
          <w:lang w:eastAsia="zh-CN"/>
        </w:rPr>
        <w:t>法规科技司</w:t>
      </w:r>
      <w:r>
        <w:rPr>
          <w:rFonts w:hint="eastAsia" w:ascii="黑体" w:hAnsi="黑体" w:eastAsia="黑体" w:cs="黑体"/>
          <w:sz w:val="32"/>
          <w:szCs w:val="32"/>
        </w:rPr>
        <w:t>应当依法审查或者及时</w:t>
      </w:r>
      <w:r>
        <w:rPr>
          <w:rFonts w:hint="eastAsia" w:ascii="黑体" w:hAnsi="黑体" w:eastAsia="黑体" w:cs="黑体"/>
          <w:sz w:val="32"/>
          <w:szCs w:val="32"/>
          <w:lang w:eastAsia="zh-CN"/>
        </w:rPr>
        <w:t>按照相关程序</w:t>
      </w:r>
      <w:r>
        <w:rPr>
          <w:rFonts w:hint="eastAsia" w:ascii="黑体" w:hAnsi="黑体" w:eastAsia="黑体" w:cs="黑体"/>
          <w:sz w:val="32"/>
          <w:szCs w:val="32"/>
        </w:rPr>
        <w:t>作出行政复议决定。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第二十一条</w:t>
      </w:r>
      <w:r>
        <w:rPr>
          <w:rFonts w:hint="eastAsia" w:ascii="仿宋" w:hAnsi="仿宋" w:eastAsia="仿宋" w:cs="仿宋"/>
          <w:sz w:val="32"/>
          <w:szCs w:val="32"/>
          <w:vertAlign w:val="baseline"/>
          <w:lang w:val="en-US" w:eastAsia="zh-CN"/>
        </w:rPr>
        <w:t>　法规科技司对被申请人作出的</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行政行为进行审查，提出初步处理意见，送有关业务司或者单位征求意见后，草拟行政复议决定，报请局领导审核同意，作出行政复议决定，加盖国家矿山安全监察局印章后送达申请人。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黑体" w:hAnsi="黑体" w:eastAsia="黑体" w:cs="黑体"/>
          <w:sz w:val="32"/>
          <w:szCs w:val="32"/>
          <w:vertAlign w:val="baseline"/>
          <w:lang w:val="en-US" w:eastAsia="zh-CN"/>
        </w:rPr>
        <w:t>经过听证的行政复议案件或者</w:t>
      </w:r>
      <w:r>
        <w:rPr>
          <w:rFonts w:hint="eastAsia" w:ascii="仿宋" w:hAnsi="仿宋" w:eastAsia="仿宋" w:cs="仿宋"/>
          <w:sz w:val="32"/>
          <w:szCs w:val="32"/>
          <w:vertAlign w:val="baseline"/>
          <w:lang w:val="en-US" w:eastAsia="zh-CN"/>
        </w:rPr>
        <w:t>社会影响大、对处理意见有重大分歧的行政复议案件，应当经国家矿山安全监察局局务会议集体研究讨论。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color w:val="auto"/>
          <w:sz w:val="32"/>
        </w:rPr>
      </w:pPr>
      <w:r>
        <w:rPr>
          <w:rFonts w:hint="eastAsia" w:ascii="仿宋" w:hAnsi="仿宋" w:eastAsia="仿宋" w:cs="仿宋"/>
          <w:b/>
          <w:bCs/>
          <w:sz w:val="32"/>
          <w:szCs w:val="32"/>
          <w:vertAlign w:val="baseline"/>
          <w:lang w:val="en-US" w:eastAsia="zh-CN"/>
        </w:rPr>
        <w:t>增加一条作为第二十二条</w:t>
      </w:r>
      <w:r>
        <w:rPr>
          <w:rFonts w:hint="eastAsia" w:ascii="黑体" w:hAnsi="黑体" w:eastAsia="黑体" w:cs="黑体"/>
          <w:sz w:val="32"/>
          <w:szCs w:val="32"/>
          <w:vertAlign w:val="baseline"/>
          <w:lang w:val="en-US" w:eastAsia="zh-CN"/>
        </w:rPr>
        <w:t xml:space="preserve">  </w:t>
      </w:r>
      <w:r>
        <w:rPr>
          <w:rFonts w:hint="eastAsia" w:ascii="仿宋" w:hAnsi="仿宋" w:eastAsia="仿宋" w:cs="仿宋"/>
          <w:sz w:val="32"/>
          <w:szCs w:val="32"/>
          <w:vertAlign w:val="baseline"/>
          <w:lang w:val="en-US" w:eastAsia="zh-CN"/>
        </w:rPr>
        <w:t>国家矿山安全监察局省级局</w:t>
      </w:r>
      <w:r>
        <w:rPr>
          <w:rFonts w:hint="eastAsia" w:ascii="黑体" w:hAnsi="黑体" w:eastAsia="黑体" w:cs="黑体"/>
          <w:color w:val="auto"/>
          <w:sz w:val="32"/>
        </w:rPr>
        <w:t>不履行或者无正当理由拖延履行行政复议决定书、调解书、意见书的，国家矿山安全监察局可以约谈被申请人的有关负责人或者予以通报批评。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lang w:val="en-US" w:eastAsia="zh-CN"/>
        </w:rPr>
      </w:pPr>
      <w:r>
        <w:rPr>
          <w:rFonts w:hint="eastAsia" w:ascii="仿宋" w:hAnsi="仿宋" w:eastAsia="仿宋" w:cs="仿宋"/>
          <w:sz w:val="32"/>
          <w:szCs w:val="32"/>
          <w:vertAlign w:val="baseline"/>
          <w:lang w:val="en-US" w:eastAsia="zh-CN"/>
        </w:rPr>
        <w:t>国家矿山安全监察局省级局</w:t>
      </w:r>
      <w:r>
        <w:rPr>
          <w:rFonts w:hint="eastAsia" w:ascii="黑体" w:hAnsi="黑体" w:eastAsia="黑体" w:cs="黑体"/>
          <w:color w:val="auto"/>
          <w:sz w:val="32"/>
          <w:lang w:val="en-US" w:eastAsia="zh-CN"/>
        </w:rPr>
        <w:t>的相关负责人被约谈或通报批评后，将纠正相关违法或者不当行政行为的情况报送行政复议机关。</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第四章　行政应诉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第二十三条</w:t>
      </w:r>
      <w:r>
        <w:rPr>
          <w:rFonts w:hint="eastAsia" w:ascii="仿宋" w:hAnsi="仿宋" w:eastAsia="仿宋" w:cs="仿宋"/>
          <w:sz w:val="32"/>
          <w:szCs w:val="32"/>
          <w:vertAlign w:val="baseline"/>
          <w:lang w:val="en-US" w:eastAsia="zh-CN"/>
        </w:rPr>
        <w:t>　综合司收到人民法院</w:t>
      </w:r>
      <w:r>
        <w:rPr>
          <w:rFonts w:hint="eastAsia" w:ascii="黑体" w:hAnsi="黑体" w:eastAsia="黑体" w:cs="黑体"/>
          <w:sz w:val="32"/>
          <w:szCs w:val="32"/>
          <w:vertAlign w:val="baseline"/>
          <w:lang w:val="en-US" w:eastAsia="zh-CN"/>
        </w:rPr>
        <w:t>送达</w:t>
      </w:r>
      <w:r>
        <w:rPr>
          <w:rFonts w:hint="eastAsia" w:ascii="仿宋" w:hAnsi="仿宋" w:eastAsia="仿宋" w:cs="仿宋"/>
          <w:sz w:val="32"/>
          <w:szCs w:val="32"/>
          <w:vertAlign w:val="baseline"/>
          <w:lang w:val="en-US" w:eastAsia="zh-CN"/>
        </w:rPr>
        <w:t>的行政</w:t>
      </w:r>
      <w:r>
        <w:rPr>
          <w:rFonts w:hint="eastAsia" w:ascii="黑体" w:hAnsi="黑体" w:eastAsia="黑体" w:cs="黑体"/>
          <w:sz w:val="32"/>
          <w:szCs w:val="32"/>
          <w:vertAlign w:val="baseline"/>
          <w:lang w:val="en-US" w:eastAsia="zh-CN"/>
        </w:rPr>
        <w:t>应诉通知书</w:t>
      </w:r>
      <w:r>
        <w:rPr>
          <w:rFonts w:hint="eastAsia" w:ascii="仿宋" w:hAnsi="仿宋" w:eastAsia="仿宋" w:cs="仿宋"/>
          <w:sz w:val="32"/>
          <w:szCs w:val="32"/>
          <w:vertAlign w:val="baseline"/>
          <w:lang w:val="en-US" w:eastAsia="zh-CN"/>
        </w:rPr>
        <w:t>副本后，应于一个工作日内转交法规科技司。法规科技司及其他业务司、国家矿山安全监察局省级局在准备证据、依据及其他材料过程中，有关部门应当积极配合，答辩状等应诉材料的报批程序应当简便快捷，确保按期向人民法院提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第二十四条</w:t>
      </w:r>
      <w:r>
        <w:rPr>
          <w:rFonts w:hint="eastAsia" w:ascii="仿宋" w:hAnsi="仿宋" w:eastAsia="仿宋" w:cs="仿宋"/>
          <w:sz w:val="32"/>
          <w:szCs w:val="32"/>
          <w:vertAlign w:val="baseline"/>
          <w:lang w:val="en-US" w:eastAsia="zh-CN"/>
        </w:rPr>
        <w:t>　法规科技司依据相关业务司或者国家矿山安全监察局省级局提供的材料，形成答辩状及有关证据和材料，经局领导批准后提交人民法院。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因不服国家矿山安全监察局</w:t>
      </w:r>
      <w:r>
        <w:rPr>
          <w:rFonts w:hint="eastAsia" w:ascii="仿宋" w:hAnsi="仿宋" w:eastAsia="仿宋" w:cs="仿宋"/>
          <w:sz w:val="32"/>
          <w:szCs w:val="32"/>
          <w:bdr w:val="single" w:sz="0"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行政行为提起行政诉讼的，由承办或者牵头承办该项工作的业务司负责提供当初作出</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行政行为涉及的事实、理由、法律依据和其他相关证据材料。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因不服国家矿山安全监察局改变原</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行政行为的行政复议决定提起行政诉讼的，由法规科技司和其他业务司、国家矿山安全监察局省级局共同负责提供相关事实、理由、法律依据和证据材料。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w:t>
      </w:r>
      <w:r>
        <w:rPr>
          <w:rFonts w:hint="eastAsia" w:ascii="方正楷体_GBK" w:hAnsi="方正楷体_GBK" w:eastAsia="方正楷体_GBK" w:cs="方正楷体_GBK"/>
          <w:b/>
          <w:bCs/>
          <w:sz w:val="32"/>
          <w:szCs w:val="32"/>
          <w:vertAlign w:val="baseline"/>
          <w:lang w:val="en-US" w:eastAsia="zh-CN"/>
        </w:rPr>
        <w:t>二十五</w:t>
      </w:r>
      <w:r>
        <w:rPr>
          <w:rFonts w:hint="eastAsia" w:ascii="仿宋" w:hAnsi="仿宋" w:eastAsia="仿宋" w:cs="仿宋"/>
          <w:b/>
          <w:bCs/>
          <w:sz w:val="32"/>
          <w:szCs w:val="32"/>
          <w:vertAlign w:val="baseline"/>
          <w:lang w:val="en-US" w:eastAsia="zh-CN"/>
        </w:rPr>
        <w:t>条</w:t>
      </w:r>
      <w:r>
        <w:rPr>
          <w:rFonts w:hint="eastAsia" w:ascii="仿宋" w:hAnsi="仿宋" w:eastAsia="仿宋" w:cs="仿宋"/>
          <w:sz w:val="32"/>
          <w:szCs w:val="32"/>
          <w:vertAlign w:val="baseline"/>
          <w:lang w:val="en-US" w:eastAsia="zh-CN"/>
        </w:rPr>
        <w:t>　对重大、复杂的行政应诉案件的答辩意见，应当报请局领导召开会议审议。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因不服国家矿山安全监察局</w:t>
      </w:r>
      <w:r>
        <w:rPr>
          <w:rFonts w:hint="eastAsia" w:ascii="仿宋" w:hAnsi="仿宋" w:eastAsia="仿宋" w:cs="仿宋"/>
          <w:strike w:val="0"/>
          <w:dstrike w:val="0"/>
          <w:sz w:val="32"/>
          <w:szCs w:val="32"/>
          <w:bdr w:val="single" w:sz="4" w:space="0"/>
          <w:shd w:val="clear" w:color="FFFFFF" w:fill="D9D9D9"/>
          <w:vertAlign w:val="baseline"/>
          <w:lang w:val="en-US" w:eastAsia="zh-CN"/>
        </w:rPr>
        <w:t>具体</w:t>
      </w:r>
      <w:r>
        <w:rPr>
          <w:rFonts w:hint="eastAsia" w:ascii="仿宋" w:hAnsi="仿宋" w:eastAsia="仿宋" w:cs="仿宋"/>
          <w:sz w:val="32"/>
          <w:szCs w:val="32"/>
          <w:vertAlign w:val="baseline"/>
          <w:lang w:val="en-US" w:eastAsia="zh-CN"/>
        </w:rPr>
        <w:t>行政行为而引发行政诉讼的，由承办或者牵头承办该项工作的业务司作出说明。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第二十六条</w:t>
      </w:r>
      <w:r>
        <w:rPr>
          <w:rFonts w:hint="eastAsia" w:ascii="仿宋" w:hAnsi="仿宋" w:eastAsia="仿宋" w:cs="仿宋"/>
          <w:sz w:val="32"/>
          <w:szCs w:val="32"/>
          <w:vertAlign w:val="baseline"/>
          <w:lang w:val="en-US" w:eastAsia="zh-CN"/>
        </w:rPr>
        <w:t>　国家矿山安全监察局负责人应当出庭应诉。不能出庭的，应当委托相应的工作人员出庭。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参加行政诉讼应当确定诉讼代理人。诉讼代理人一般由法规科技司或者相关业务司的工作人员和委托的律师担任。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诉讼代理人人选由法规科技司或者法规科技司与有关业务司提出意见，报经局领导批准后，办理授权委托有关手续和材料。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第二十七条</w:t>
      </w:r>
      <w:r>
        <w:rPr>
          <w:rFonts w:hint="eastAsia" w:ascii="仿宋" w:hAnsi="仿宋" w:eastAsia="仿宋" w:cs="仿宋"/>
          <w:sz w:val="32"/>
          <w:szCs w:val="32"/>
          <w:vertAlign w:val="baseline"/>
          <w:lang w:val="en-US" w:eastAsia="zh-CN"/>
        </w:rPr>
        <w:t>　法规科技司在人民法院一审判决书或者裁定书送达后，应组织协调有关业务司，提出是否上诉的意见，报局领导审批。决定上诉的，应当在法定期限内向二审人民法院提交上诉状。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第五章　附　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第二十八条</w:t>
      </w:r>
      <w:r>
        <w:rPr>
          <w:rFonts w:hint="eastAsia" w:ascii="仿宋" w:hAnsi="仿宋" w:eastAsia="仿宋" w:cs="仿宋"/>
          <w:sz w:val="32"/>
          <w:szCs w:val="32"/>
          <w:vertAlign w:val="baseline"/>
          <w:lang w:val="en-US" w:eastAsia="zh-CN"/>
        </w:rPr>
        <w:t>　国家矿山安全监察局省级局应当每年对本单位</w:t>
      </w:r>
      <w:r>
        <w:rPr>
          <w:rFonts w:hint="eastAsia" w:ascii="仿宋" w:hAnsi="仿宋" w:eastAsia="仿宋" w:cs="仿宋"/>
          <w:sz w:val="32"/>
          <w:szCs w:val="32"/>
          <w:bdr w:val="single" w:sz="0" w:space="0"/>
          <w:shd w:val="clear" w:color="FFFFFF" w:fill="D9D9D9"/>
          <w:vertAlign w:val="baseline"/>
          <w:lang w:val="en-US" w:eastAsia="zh-CN"/>
        </w:rPr>
        <w:t>行政复议及</w:t>
      </w:r>
      <w:r>
        <w:rPr>
          <w:rFonts w:hint="eastAsia" w:ascii="仿宋" w:hAnsi="仿宋" w:eastAsia="仿宋" w:cs="仿宋"/>
          <w:sz w:val="32"/>
          <w:szCs w:val="32"/>
          <w:vertAlign w:val="baseline"/>
          <w:lang w:val="en-US" w:eastAsia="zh-CN"/>
        </w:rPr>
        <w:t>行政应诉工作情况、行政复议决定履行情况以及典型案例等进行统计分析，并向国家矿山安全监察局报告。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黑体" w:hAnsi="黑体" w:eastAsia="黑体" w:cs="黑体"/>
          <w:sz w:val="32"/>
          <w:szCs w:val="32"/>
          <w:vertAlign w:val="baseline"/>
          <w:lang w:val="en-US" w:eastAsia="zh-CN"/>
        </w:rPr>
        <w:t>国家矿山安全监察局将国家矿山安全监察局省级局的复议率、确认违法、撤销行政行为率列入年度考核范围。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bdr w:val="single" w:sz="0" w:space="0"/>
          <w:shd w:val="clear" w:color="FFFFFF" w:fill="D9D9D9"/>
          <w:vertAlign w:val="baseline"/>
          <w:lang w:val="en-US" w:eastAsia="zh-CN"/>
        </w:rPr>
      </w:pPr>
      <w:r>
        <w:rPr>
          <w:rFonts w:hint="eastAsia" w:ascii="仿宋" w:hAnsi="仿宋" w:eastAsia="仿宋" w:cs="仿宋"/>
          <w:b w:val="0"/>
          <w:bCs w:val="0"/>
          <w:sz w:val="32"/>
          <w:szCs w:val="32"/>
          <w:bdr w:val="single" w:sz="0" w:space="0"/>
          <w:shd w:val="clear" w:color="FFFFFF" w:fill="D9D9D9"/>
          <w:vertAlign w:val="baseline"/>
          <w:lang w:val="en-US" w:eastAsia="zh-CN"/>
        </w:rPr>
        <w:t>第三十条</w:t>
      </w:r>
      <w:r>
        <w:rPr>
          <w:rFonts w:hint="eastAsia" w:ascii="仿宋" w:hAnsi="仿宋" w:eastAsia="仿宋" w:cs="仿宋"/>
          <w:sz w:val="32"/>
          <w:szCs w:val="32"/>
          <w:bdr w:val="single" w:sz="0" w:space="0"/>
          <w:shd w:val="clear" w:color="FFFFFF" w:fill="D9D9D9"/>
          <w:vertAlign w:val="baseline"/>
          <w:lang w:val="en-US" w:eastAsia="zh-CN"/>
        </w:rPr>
        <w:t>　各省级矿山安全监察机构办理行政复议和行政应诉案件可以参照本办法执行。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第二十九条</w:t>
      </w:r>
      <w:r>
        <w:rPr>
          <w:rFonts w:hint="eastAsia" w:ascii="仿宋" w:hAnsi="仿宋" w:eastAsia="仿宋" w:cs="仿宋"/>
          <w:sz w:val="32"/>
          <w:szCs w:val="32"/>
          <w:vertAlign w:val="baseline"/>
          <w:lang w:val="en-US" w:eastAsia="zh-CN"/>
        </w:rPr>
        <w:t>　本办法自</w:t>
      </w:r>
      <w:r>
        <w:rPr>
          <w:rFonts w:hint="eastAsia" w:ascii="黑体" w:hAnsi="黑体" w:eastAsia="黑体" w:cs="黑体"/>
          <w:sz w:val="32"/>
          <w:szCs w:val="32"/>
          <w:vertAlign w:val="baseline"/>
          <w:lang w:val="en-US" w:eastAsia="zh-CN"/>
        </w:rPr>
        <w:t>2024年  月  日起施行，国家矿山安全监察局2021年8月19日公布的《国家矿山安全监察局行政复议及行政应诉办法》同时废止</w:t>
      </w:r>
      <w:r>
        <w:rPr>
          <w:rFonts w:hint="eastAsia" w:ascii="仿宋" w:hAnsi="仿宋" w:eastAsia="仿宋" w:cs="仿宋"/>
          <w:sz w:val="32"/>
          <w:szCs w:val="32"/>
          <w:vertAlign w:val="baseline"/>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MwMzg0Yzg2NWNkOWU5ZjNlNGE5OTgwNzZmZGRmZjcifQ=="/>
  </w:docVars>
  <w:rsids>
    <w:rsidRoot w:val="70470E05"/>
    <w:rsid w:val="003A0914"/>
    <w:rsid w:val="01EA0118"/>
    <w:rsid w:val="032D4760"/>
    <w:rsid w:val="033C49A3"/>
    <w:rsid w:val="03BC5198"/>
    <w:rsid w:val="03D16ADB"/>
    <w:rsid w:val="04267B2D"/>
    <w:rsid w:val="05AB7BBE"/>
    <w:rsid w:val="05CB200E"/>
    <w:rsid w:val="07462294"/>
    <w:rsid w:val="07A50D69"/>
    <w:rsid w:val="08206034"/>
    <w:rsid w:val="0853529F"/>
    <w:rsid w:val="089112ED"/>
    <w:rsid w:val="09D058E9"/>
    <w:rsid w:val="09FC4E8C"/>
    <w:rsid w:val="0A2763AD"/>
    <w:rsid w:val="0A5E7D79"/>
    <w:rsid w:val="0B1A381C"/>
    <w:rsid w:val="0B951A25"/>
    <w:rsid w:val="0C140339"/>
    <w:rsid w:val="0C923A0F"/>
    <w:rsid w:val="0CBC3BE7"/>
    <w:rsid w:val="0DA970D9"/>
    <w:rsid w:val="0E8530AF"/>
    <w:rsid w:val="0F1D38DB"/>
    <w:rsid w:val="101C1DE4"/>
    <w:rsid w:val="110E5BD1"/>
    <w:rsid w:val="117D2D56"/>
    <w:rsid w:val="11B97FA6"/>
    <w:rsid w:val="11F1104F"/>
    <w:rsid w:val="12394ECF"/>
    <w:rsid w:val="13B251F2"/>
    <w:rsid w:val="13CB5914"/>
    <w:rsid w:val="1432607A"/>
    <w:rsid w:val="143F3C13"/>
    <w:rsid w:val="144731A8"/>
    <w:rsid w:val="14AF1479"/>
    <w:rsid w:val="14E05AD6"/>
    <w:rsid w:val="14FE7D0A"/>
    <w:rsid w:val="15DB004C"/>
    <w:rsid w:val="161672D6"/>
    <w:rsid w:val="16197E6B"/>
    <w:rsid w:val="17141626"/>
    <w:rsid w:val="193B777F"/>
    <w:rsid w:val="1B171B26"/>
    <w:rsid w:val="1B1A33C4"/>
    <w:rsid w:val="1C1E0C92"/>
    <w:rsid w:val="1CD06430"/>
    <w:rsid w:val="1CD33F04"/>
    <w:rsid w:val="1CE617B0"/>
    <w:rsid w:val="1DD31D11"/>
    <w:rsid w:val="1DE859FC"/>
    <w:rsid w:val="1E513FF3"/>
    <w:rsid w:val="1EFA3C38"/>
    <w:rsid w:val="1F505606"/>
    <w:rsid w:val="1FB913FE"/>
    <w:rsid w:val="202251F5"/>
    <w:rsid w:val="20B35E4D"/>
    <w:rsid w:val="215A09BE"/>
    <w:rsid w:val="231F73CD"/>
    <w:rsid w:val="23747E8B"/>
    <w:rsid w:val="23AC56FC"/>
    <w:rsid w:val="240370EB"/>
    <w:rsid w:val="2533755C"/>
    <w:rsid w:val="258C3110"/>
    <w:rsid w:val="25CB1E8B"/>
    <w:rsid w:val="25E76599"/>
    <w:rsid w:val="27D8263D"/>
    <w:rsid w:val="28285372"/>
    <w:rsid w:val="282F4953"/>
    <w:rsid w:val="286914E7"/>
    <w:rsid w:val="28CF5A20"/>
    <w:rsid w:val="29EB48A9"/>
    <w:rsid w:val="29FD638B"/>
    <w:rsid w:val="2A4C2E6E"/>
    <w:rsid w:val="2B980A61"/>
    <w:rsid w:val="2BEA293F"/>
    <w:rsid w:val="2CEB4BC0"/>
    <w:rsid w:val="2D173C07"/>
    <w:rsid w:val="2D287BC3"/>
    <w:rsid w:val="2D856DC3"/>
    <w:rsid w:val="2E205BAC"/>
    <w:rsid w:val="2E3E3A4B"/>
    <w:rsid w:val="2F650C5A"/>
    <w:rsid w:val="2F936C13"/>
    <w:rsid w:val="30DA11D4"/>
    <w:rsid w:val="31280191"/>
    <w:rsid w:val="3304078A"/>
    <w:rsid w:val="33BB353F"/>
    <w:rsid w:val="36941E25"/>
    <w:rsid w:val="37E8530D"/>
    <w:rsid w:val="3837515E"/>
    <w:rsid w:val="39745C77"/>
    <w:rsid w:val="3A156427"/>
    <w:rsid w:val="3A52627F"/>
    <w:rsid w:val="3B651FE2"/>
    <w:rsid w:val="3B8102A9"/>
    <w:rsid w:val="3BA42B0A"/>
    <w:rsid w:val="3BC01FB5"/>
    <w:rsid w:val="3BE92C13"/>
    <w:rsid w:val="3C4446EB"/>
    <w:rsid w:val="3C6A3D54"/>
    <w:rsid w:val="3C814BF9"/>
    <w:rsid w:val="3CF61143"/>
    <w:rsid w:val="3CFD4BC8"/>
    <w:rsid w:val="3D574E12"/>
    <w:rsid w:val="3D93111C"/>
    <w:rsid w:val="3EA903DE"/>
    <w:rsid w:val="3FA4757D"/>
    <w:rsid w:val="406F3C61"/>
    <w:rsid w:val="41766CF7"/>
    <w:rsid w:val="417E5BAB"/>
    <w:rsid w:val="42DF1732"/>
    <w:rsid w:val="437461C3"/>
    <w:rsid w:val="43A833B4"/>
    <w:rsid w:val="44986938"/>
    <w:rsid w:val="45390767"/>
    <w:rsid w:val="454669E0"/>
    <w:rsid w:val="46C4425B"/>
    <w:rsid w:val="471843AC"/>
    <w:rsid w:val="478D4D9A"/>
    <w:rsid w:val="47D13DD8"/>
    <w:rsid w:val="48D04F3E"/>
    <w:rsid w:val="490B75D5"/>
    <w:rsid w:val="49CD5922"/>
    <w:rsid w:val="4A751487"/>
    <w:rsid w:val="4B11183E"/>
    <w:rsid w:val="4B9D30D2"/>
    <w:rsid w:val="4BA601D9"/>
    <w:rsid w:val="4C896AE6"/>
    <w:rsid w:val="4D01773A"/>
    <w:rsid w:val="4D1E3BF0"/>
    <w:rsid w:val="4D5123C6"/>
    <w:rsid w:val="4DF30E2D"/>
    <w:rsid w:val="4E191136"/>
    <w:rsid w:val="4E1C712B"/>
    <w:rsid w:val="4E4C150B"/>
    <w:rsid w:val="50CA4969"/>
    <w:rsid w:val="50E33C7D"/>
    <w:rsid w:val="512247A5"/>
    <w:rsid w:val="5216584F"/>
    <w:rsid w:val="52701540"/>
    <w:rsid w:val="528F7C18"/>
    <w:rsid w:val="52ED493F"/>
    <w:rsid w:val="530D10EE"/>
    <w:rsid w:val="5587107B"/>
    <w:rsid w:val="55CF47D0"/>
    <w:rsid w:val="55E24503"/>
    <w:rsid w:val="56064695"/>
    <w:rsid w:val="56D67FEA"/>
    <w:rsid w:val="57D32355"/>
    <w:rsid w:val="5814471C"/>
    <w:rsid w:val="584A6390"/>
    <w:rsid w:val="588673C8"/>
    <w:rsid w:val="589F0489"/>
    <w:rsid w:val="58A40196"/>
    <w:rsid w:val="58D81BED"/>
    <w:rsid w:val="59036C6A"/>
    <w:rsid w:val="59DF76D7"/>
    <w:rsid w:val="5A1F7AD4"/>
    <w:rsid w:val="5AB02E22"/>
    <w:rsid w:val="5ACC7530"/>
    <w:rsid w:val="5AEC41CD"/>
    <w:rsid w:val="5AF50835"/>
    <w:rsid w:val="5AFE3B8D"/>
    <w:rsid w:val="5B721E85"/>
    <w:rsid w:val="5B78A468"/>
    <w:rsid w:val="5D290C69"/>
    <w:rsid w:val="5D8179EF"/>
    <w:rsid w:val="5DAF116F"/>
    <w:rsid w:val="5FAD7930"/>
    <w:rsid w:val="60687CFB"/>
    <w:rsid w:val="615D0EE2"/>
    <w:rsid w:val="61C0143C"/>
    <w:rsid w:val="61DA69D6"/>
    <w:rsid w:val="61E0223F"/>
    <w:rsid w:val="6279241D"/>
    <w:rsid w:val="62944DD7"/>
    <w:rsid w:val="63FA6EBC"/>
    <w:rsid w:val="663568D1"/>
    <w:rsid w:val="66A80E51"/>
    <w:rsid w:val="66AF0431"/>
    <w:rsid w:val="685E5C6B"/>
    <w:rsid w:val="689B282D"/>
    <w:rsid w:val="69202CA9"/>
    <w:rsid w:val="69BE3E37"/>
    <w:rsid w:val="6AB44268"/>
    <w:rsid w:val="6B2B487C"/>
    <w:rsid w:val="6C47422A"/>
    <w:rsid w:val="6CC16C42"/>
    <w:rsid w:val="6E7D7067"/>
    <w:rsid w:val="6EB8009F"/>
    <w:rsid w:val="6EF2535F"/>
    <w:rsid w:val="6F6F69B0"/>
    <w:rsid w:val="6F810491"/>
    <w:rsid w:val="70470E05"/>
    <w:rsid w:val="712612F0"/>
    <w:rsid w:val="724F2AC9"/>
    <w:rsid w:val="72E01973"/>
    <w:rsid w:val="733D0DD5"/>
    <w:rsid w:val="73B452D9"/>
    <w:rsid w:val="74E4574A"/>
    <w:rsid w:val="754D7793"/>
    <w:rsid w:val="76A827A7"/>
    <w:rsid w:val="77C6067E"/>
    <w:rsid w:val="78370287"/>
    <w:rsid w:val="79256331"/>
    <w:rsid w:val="797A41B9"/>
    <w:rsid w:val="79BA2F1D"/>
    <w:rsid w:val="7BA06143"/>
    <w:rsid w:val="7BEC062A"/>
    <w:rsid w:val="7C0526B8"/>
    <w:rsid w:val="7C3074C7"/>
    <w:rsid w:val="7C66113B"/>
    <w:rsid w:val="7CF0498B"/>
    <w:rsid w:val="7D050953"/>
    <w:rsid w:val="7EED5B43"/>
    <w:rsid w:val="7F5FA73F"/>
    <w:rsid w:val="7F8873AD"/>
    <w:rsid w:val="D7DFA932"/>
    <w:rsid w:val="F3BF90F6"/>
    <w:rsid w:val="FE7EE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4978</Words>
  <Characters>4985</Characters>
  <Lines>0</Lines>
  <Paragraphs>0</Paragraphs>
  <TotalTime>37</TotalTime>
  <ScaleCrop>false</ScaleCrop>
  <LinksUpToDate>false</LinksUpToDate>
  <CharactersWithSpaces>5045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2024-01-31T06:43:00Z</dcterms:created>
  <dc:creator>杨钰婷</dc:creator>
  <cp:lastModifiedBy>杨钰婷</cp:lastModifiedBy>
  <cp:lastPrinted>2024-03-25T00:17:42Z</cp:lastPrinted>
  <dcterms:modified xsi:type="dcterms:W3CDTF">2024-03-25T00:19:34Z</dcterms:modified>
  <dc:title>注：灰色为删除，黑体为新增或修改。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BE41889D184BA4D1DE57FD659FF53B84</vt:lpwstr>
  </property>
</Properties>
</file>