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F4" w:rsidRPr="000A66D9" w:rsidRDefault="00EF09F4" w:rsidP="00EF09F4">
      <w:pPr>
        <w:jc w:val="left"/>
        <w:outlineLvl w:val="0"/>
        <w:rPr>
          <w:rFonts w:ascii="黑体" w:eastAsia="黑体" w:hAnsi="黑体" w:cs="Times New Roman"/>
          <w:bCs/>
          <w:sz w:val="32"/>
          <w:szCs w:val="32"/>
        </w:rPr>
      </w:pPr>
      <w:bookmarkStart w:id="0" w:name="_Toc532576781"/>
      <w:r w:rsidRPr="000A66D9">
        <w:rPr>
          <w:rFonts w:ascii="黑体" w:eastAsia="黑体" w:hAnsi="黑体" w:cs="Times New Roman" w:hint="eastAsia"/>
          <w:bCs/>
          <w:sz w:val="32"/>
          <w:szCs w:val="32"/>
        </w:rPr>
        <w:t>附件</w:t>
      </w:r>
    </w:p>
    <w:p w:rsidR="00EF0BDF" w:rsidRPr="00502E88" w:rsidRDefault="00EF09F4" w:rsidP="00EF0BDF">
      <w:pPr>
        <w:jc w:val="center"/>
        <w:outlineLvl w:val="0"/>
        <w:rPr>
          <w:rFonts w:ascii="Times New Roman" w:eastAsia="华文中宋" w:hAnsi="Times New Roman" w:cs="Times New Roman" w:hint="eastAsia"/>
          <w:b/>
          <w:bCs/>
          <w:sz w:val="36"/>
          <w:szCs w:val="36"/>
        </w:rPr>
      </w:pPr>
      <w:r w:rsidRPr="00502E88">
        <w:rPr>
          <w:rFonts w:ascii="Times New Roman" w:eastAsia="华文中宋" w:hAnsi="Times New Roman" w:cs="Times New Roman"/>
          <w:b/>
          <w:bCs/>
          <w:sz w:val="36"/>
          <w:szCs w:val="36"/>
        </w:rPr>
        <w:t>《禁止井工煤矿使用的设备及工艺目录（第四批）》</w:t>
      </w:r>
      <w:bookmarkEnd w:id="0"/>
    </w:p>
    <w:tbl>
      <w:tblPr>
        <w:tblStyle w:val="a5"/>
        <w:tblW w:w="4834" w:type="pct"/>
        <w:jc w:val="center"/>
        <w:tblLook w:val="04A0" w:firstRow="1" w:lastRow="0" w:firstColumn="1" w:lastColumn="0" w:noHBand="0" w:noVBand="1"/>
      </w:tblPr>
      <w:tblGrid>
        <w:gridCol w:w="568"/>
        <w:gridCol w:w="2235"/>
        <w:gridCol w:w="5953"/>
        <w:gridCol w:w="3133"/>
        <w:gridCol w:w="2511"/>
      </w:tblGrid>
      <w:tr w:rsidR="007942DC" w:rsidTr="00502E88">
        <w:trPr>
          <w:trHeight w:val="1001"/>
          <w:jc w:val="center"/>
        </w:trPr>
        <w:tc>
          <w:tcPr>
            <w:tcW w:w="197" w:type="pct"/>
            <w:vAlign w:val="center"/>
          </w:tcPr>
          <w:p w:rsidR="007942DC" w:rsidRPr="00502E88" w:rsidRDefault="007942DC" w:rsidP="00EF0BDF">
            <w:pPr>
              <w:adjustRightInd w:val="0"/>
              <w:snapToGrid w:val="0"/>
              <w:jc w:val="center"/>
              <w:rPr>
                <w:rFonts w:ascii="Times New Roman" w:eastAsia="宋体" w:hAnsi="Times New Roman" w:cs="Times New Roman" w:hint="eastAsia"/>
                <w:b/>
                <w:sz w:val="32"/>
                <w:szCs w:val="32"/>
              </w:rPr>
            </w:pPr>
            <w:r w:rsidRPr="00502E88">
              <w:rPr>
                <w:rFonts w:ascii="Times New Roman" w:eastAsia="宋体" w:hAnsi="Times New Roman" w:cs="Times New Roman" w:hint="eastAsia"/>
                <w:b/>
                <w:sz w:val="32"/>
                <w:szCs w:val="32"/>
              </w:rPr>
              <w:t>序号</w:t>
            </w:r>
          </w:p>
        </w:tc>
        <w:tc>
          <w:tcPr>
            <w:tcW w:w="776" w:type="pct"/>
            <w:vAlign w:val="center"/>
          </w:tcPr>
          <w:p w:rsidR="007942DC" w:rsidRPr="00502E88" w:rsidRDefault="007942DC" w:rsidP="00EF0BDF">
            <w:pPr>
              <w:adjustRightInd w:val="0"/>
              <w:snapToGrid w:val="0"/>
              <w:jc w:val="center"/>
              <w:rPr>
                <w:rFonts w:ascii="Times New Roman" w:eastAsia="宋体" w:hAnsi="Times New Roman" w:cs="Times New Roman" w:hint="eastAsia"/>
                <w:b/>
                <w:sz w:val="32"/>
                <w:szCs w:val="32"/>
              </w:rPr>
            </w:pPr>
            <w:r w:rsidRPr="00502E88">
              <w:rPr>
                <w:rFonts w:ascii="Times New Roman" w:eastAsia="宋体" w:hAnsi="Times New Roman" w:cs="Times New Roman"/>
                <w:b/>
                <w:sz w:val="32"/>
                <w:szCs w:val="32"/>
              </w:rPr>
              <w:t>产品名称</w:t>
            </w:r>
          </w:p>
        </w:tc>
        <w:tc>
          <w:tcPr>
            <w:tcW w:w="2067" w:type="pct"/>
            <w:vAlign w:val="center"/>
          </w:tcPr>
          <w:p w:rsidR="007942DC" w:rsidRPr="00502E88" w:rsidRDefault="007942DC" w:rsidP="00EF0BDF">
            <w:pPr>
              <w:adjustRightInd w:val="0"/>
              <w:snapToGrid w:val="0"/>
              <w:jc w:val="center"/>
              <w:rPr>
                <w:rFonts w:ascii="Times New Roman" w:eastAsia="宋体" w:hAnsi="Times New Roman" w:cs="Times New Roman" w:hint="eastAsia"/>
                <w:b/>
                <w:sz w:val="32"/>
                <w:szCs w:val="32"/>
              </w:rPr>
            </w:pPr>
            <w:r w:rsidRPr="00502E88">
              <w:rPr>
                <w:rFonts w:ascii="Times New Roman" w:eastAsia="宋体" w:hAnsi="Times New Roman" w:cs="Times New Roman"/>
                <w:b/>
                <w:sz w:val="32"/>
                <w:szCs w:val="32"/>
              </w:rPr>
              <w:t>禁止使用原因</w:t>
            </w:r>
          </w:p>
        </w:tc>
        <w:tc>
          <w:tcPr>
            <w:tcW w:w="1088" w:type="pct"/>
            <w:vAlign w:val="center"/>
          </w:tcPr>
          <w:p w:rsidR="007942DC" w:rsidRPr="00502E88" w:rsidRDefault="007942DC" w:rsidP="00EF0BDF">
            <w:pPr>
              <w:adjustRightInd w:val="0"/>
              <w:snapToGrid w:val="0"/>
              <w:jc w:val="center"/>
              <w:rPr>
                <w:rFonts w:ascii="Times New Roman" w:eastAsia="宋体" w:hAnsi="Times New Roman" w:cs="Times New Roman"/>
                <w:b/>
                <w:sz w:val="32"/>
                <w:szCs w:val="32"/>
              </w:rPr>
            </w:pPr>
            <w:r w:rsidRPr="00502E88">
              <w:rPr>
                <w:rFonts w:ascii="Times New Roman" w:eastAsia="宋体" w:hAnsi="Times New Roman" w:cs="Times New Roman"/>
                <w:b/>
                <w:sz w:val="32"/>
                <w:szCs w:val="32"/>
              </w:rPr>
              <w:t>禁止使用范围、</w:t>
            </w:r>
          </w:p>
          <w:p w:rsidR="007942DC" w:rsidRPr="00502E88" w:rsidRDefault="007942DC" w:rsidP="00EF0BDF">
            <w:pPr>
              <w:adjustRightInd w:val="0"/>
              <w:snapToGrid w:val="0"/>
              <w:jc w:val="center"/>
              <w:rPr>
                <w:rFonts w:ascii="Times New Roman" w:eastAsia="宋体" w:hAnsi="Times New Roman" w:cs="Times New Roman" w:hint="eastAsia"/>
                <w:b/>
                <w:sz w:val="32"/>
                <w:szCs w:val="32"/>
              </w:rPr>
            </w:pPr>
            <w:r w:rsidRPr="00502E88">
              <w:rPr>
                <w:rFonts w:ascii="Times New Roman" w:eastAsia="宋体" w:hAnsi="Times New Roman" w:cs="Times New Roman"/>
                <w:b/>
                <w:sz w:val="32"/>
                <w:szCs w:val="32"/>
              </w:rPr>
              <w:t>期限</w:t>
            </w:r>
          </w:p>
        </w:tc>
        <w:tc>
          <w:tcPr>
            <w:tcW w:w="873" w:type="pct"/>
            <w:vAlign w:val="center"/>
          </w:tcPr>
          <w:p w:rsidR="007942DC" w:rsidRPr="00502E88" w:rsidRDefault="007942DC" w:rsidP="00EF0BDF">
            <w:pPr>
              <w:adjustRightInd w:val="0"/>
              <w:snapToGrid w:val="0"/>
              <w:jc w:val="center"/>
              <w:rPr>
                <w:rFonts w:ascii="Times New Roman" w:eastAsia="宋体" w:hAnsi="Times New Roman" w:cs="Times New Roman"/>
                <w:b/>
                <w:sz w:val="32"/>
                <w:szCs w:val="32"/>
              </w:rPr>
            </w:pPr>
            <w:r w:rsidRPr="00502E88">
              <w:rPr>
                <w:rFonts w:ascii="Times New Roman" w:eastAsia="宋体" w:hAnsi="Times New Roman" w:cs="Times New Roman"/>
                <w:b/>
                <w:sz w:val="32"/>
                <w:szCs w:val="32"/>
              </w:rPr>
              <w:t>替代产品</w:t>
            </w:r>
          </w:p>
          <w:p w:rsidR="007942DC" w:rsidRPr="00502E88" w:rsidRDefault="007942DC" w:rsidP="00EF0BDF">
            <w:pPr>
              <w:adjustRightInd w:val="0"/>
              <w:snapToGrid w:val="0"/>
              <w:jc w:val="center"/>
              <w:rPr>
                <w:rFonts w:ascii="Times New Roman" w:eastAsia="宋体" w:hAnsi="Times New Roman" w:cs="Times New Roman" w:hint="eastAsia"/>
                <w:b/>
                <w:sz w:val="32"/>
                <w:szCs w:val="32"/>
              </w:rPr>
            </w:pPr>
            <w:r w:rsidRPr="00502E88">
              <w:rPr>
                <w:rFonts w:ascii="Times New Roman" w:eastAsia="宋体" w:hAnsi="Times New Roman" w:cs="Times New Roman"/>
                <w:b/>
                <w:sz w:val="32"/>
                <w:szCs w:val="32"/>
              </w:rPr>
              <w:t>或工艺</w:t>
            </w:r>
          </w:p>
        </w:tc>
      </w:tr>
      <w:tr w:rsidR="007942DC" w:rsidTr="007942DC">
        <w:trPr>
          <w:trHeight w:val="2159"/>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1</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JDB电动机综合保护器</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采用分立元件制造，没有保护状态指示、无保护参数调节（模拟式调节）功能、抗干扰性能差，且模拟式调节的保护参数整定值与被保护电动机额定电流值不容易匹配</w:t>
            </w:r>
          </w:p>
        </w:tc>
        <w:tc>
          <w:tcPr>
            <w:tcW w:w="1088"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新设备自发布之日起禁止使用，在用设备自发布之日起1年后禁止使用</w:t>
            </w:r>
          </w:p>
        </w:tc>
        <w:tc>
          <w:tcPr>
            <w:tcW w:w="873"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数字式电机综合保护器</w:t>
            </w:r>
          </w:p>
        </w:tc>
      </w:tr>
      <w:tr w:rsidR="007942DC" w:rsidTr="007942DC">
        <w:trPr>
          <w:trHeight w:val="1824"/>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2</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防爆特殊型矿灯</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本身不能完全满足防爆安全要求，安全性较低；在瓦斯超限等紧急情况下使用时存在较大安全风险。《煤矿安全规程（2016）》第441条规定：突出矿井应当采用</w:t>
            </w:r>
            <w:proofErr w:type="gramStart"/>
            <w:r w:rsidRPr="00502E88">
              <w:rPr>
                <w:rFonts w:asciiTheme="minorEastAsia" w:hAnsiTheme="minorEastAsia"/>
                <w:sz w:val="30"/>
                <w:szCs w:val="30"/>
              </w:rPr>
              <w:t>本安型</w:t>
            </w:r>
            <w:proofErr w:type="gramEnd"/>
            <w:r w:rsidRPr="00502E88">
              <w:rPr>
                <w:rFonts w:asciiTheme="minorEastAsia" w:hAnsiTheme="minorEastAsia"/>
                <w:sz w:val="30"/>
                <w:szCs w:val="30"/>
              </w:rPr>
              <w:t>矿灯</w:t>
            </w:r>
          </w:p>
        </w:tc>
        <w:tc>
          <w:tcPr>
            <w:tcW w:w="1088"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自发布之</w:t>
            </w:r>
            <w:proofErr w:type="gramStart"/>
            <w:r w:rsidRPr="00502E88">
              <w:rPr>
                <w:rFonts w:asciiTheme="minorEastAsia" w:hAnsiTheme="minorEastAsia"/>
                <w:sz w:val="30"/>
                <w:szCs w:val="30"/>
              </w:rPr>
              <w:t>日起</w:t>
            </w:r>
            <w:bookmarkStart w:id="1" w:name="_GoBack"/>
            <w:bookmarkEnd w:id="1"/>
            <w:r w:rsidRPr="00502E88">
              <w:rPr>
                <w:rFonts w:asciiTheme="minorEastAsia" w:hAnsiTheme="minorEastAsia"/>
                <w:sz w:val="30"/>
                <w:szCs w:val="30"/>
              </w:rPr>
              <w:t>煤与</w:t>
            </w:r>
            <w:proofErr w:type="gramEnd"/>
            <w:r w:rsidRPr="00502E88">
              <w:rPr>
                <w:rFonts w:asciiTheme="minorEastAsia" w:hAnsiTheme="minorEastAsia"/>
                <w:sz w:val="30"/>
                <w:szCs w:val="30"/>
              </w:rPr>
              <w:t>瓦斯突出矿井立即禁止使用</w:t>
            </w:r>
          </w:p>
        </w:tc>
        <w:tc>
          <w:tcPr>
            <w:tcW w:w="873"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矿用</w:t>
            </w:r>
            <w:proofErr w:type="gramStart"/>
            <w:r w:rsidRPr="00502E88">
              <w:rPr>
                <w:rFonts w:asciiTheme="minorEastAsia" w:hAnsiTheme="minorEastAsia"/>
                <w:sz w:val="30"/>
                <w:szCs w:val="30"/>
              </w:rPr>
              <w:t>本安型</w:t>
            </w:r>
            <w:proofErr w:type="gramEnd"/>
            <w:r w:rsidRPr="00502E88">
              <w:rPr>
                <w:rFonts w:asciiTheme="minorEastAsia" w:hAnsiTheme="minorEastAsia"/>
                <w:sz w:val="30"/>
                <w:szCs w:val="30"/>
              </w:rPr>
              <w:t>矿灯</w:t>
            </w:r>
          </w:p>
        </w:tc>
      </w:tr>
      <w:tr w:rsidR="007942DC" w:rsidTr="007942DC">
        <w:trPr>
          <w:trHeight w:val="2273"/>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3</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使用电阻调速的防爆特殊型电机车</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通过转换触头调整串入电阻阻值进行调速，无灭弧装置，触头更换频繁，运行时消耗大量能量。其中，8吨以上此类防爆特殊型电机车已被列入《禁止井工煤矿使用的设备及工艺目录》（第三批）之中</w:t>
            </w:r>
          </w:p>
        </w:tc>
        <w:tc>
          <w:tcPr>
            <w:tcW w:w="1088" w:type="pct"/>
            <w:vAlign w:val="center"/>
          </w:tcPr>
          <w:p w:rsidR="007942DC" w:rsidRPr="00502E88" w:rsidRDefault="007942DC" w:rsidP="00E25638">
            <w:pPr>
              <w:adjustRightInd w:val="0"/>
              <w:snapToGrid w:val="0"/>
              <w:rPr>
                <w:rFonts w:asciiTheme="minorEastAsia" w:hAnsiTheme="minorEastAsia" w:hint="eastAsia"/>
                <w:sz w:val="30"/>
                <w:szCs w:val="30"/>
              </w:rPr>
            </w:pPr>
            <w:r w:rsidRPr="00502E88">
              <w:rPr>
                <w:rFonts w:asciiTheme="minorEastAsia" w:hAnsiTheme="minorEastAsia"/>
                <w:sz w:val="30"/>
                <w:szCs w:val="30"/>
              </w:rPr>
              <w:t>自发布之日起禁止新选用、采购，在用设备自发布之日起2年后禁止使用</w:t>
            </w:r>
          </w:p>
          <w:p w:rsidR="007942DC" w:rsidRPr="00502E88" w:rsidRDefault="007942DC" w:rsidP="00E25638">
            <w:pPr>
              <w:adjustRightInd w:val="0"/>
              <w:snapToGrid w:val="0"/>
              <w:rPr>
                <w:rFonts w:asciiTheme="minorEastAsia" w:hAnsiTheme="minorEastAsia"/>
                <w:sz w:val="30"/>
                <w:szCs w:val="30"/>
              </w:rPr>
            </w:pPr>
          </w:p>
        </w:tc>
        <w:tc>
          <w:tcPr>
            <w:tcW w:w="873"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采用变频或直流斩波调速电机车等</w:t>
            </w:r>
          </w:p>
        </w:tc>
      </w:tr>
      <w:tr w:rsidR="007942DC" w:rsidTr="007942DC">
        <w:trPr>
          <w:trHeight w:val="975"/>
          <w:jc w:val="center"/>
        </w:trPr>
        <w:tc>
          <w:tcPr>
            <w:tcW w:w="19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hint="eastAsia"/>
                <w:b/>
                <w:sz w:val="32"/>
                <w:szCs w:val="32"/>
              </w:rPr>
              <w:lastRenderedPageBreak/>
              <w:t>序号</w:t>
            </w:r>
          </w:p>
        </w:tc>
        <w:tc>
          <w:tcPr>
            <w:tcW w:w="776"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产品名称</w:t>
            </w:r>
          </w:p>
        </w:tc>
        <w:tc>
          <w:tcPr>
            <w:tcW w:w="206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禁止使用原因</w:t>
            </w:r>
          </w:p>
        </w:tc>
        <w:tc>
          <w:tcPr>
            <w:tcW w:w="1088"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禁止使用范围、</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期限</w:t>
            </w:r>
          </w:p>
        </w:tc>
        <w:tc>
          <w:tcPr>
            <w:tcW w:w="873"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替代产品</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或工艺</w:t>
            </w:r>
          </w:p>
        </w:tc>
      </w:tr>
      <w:tr w:rsidR="007942DC" w:rsidTr="007942DC">
        <w:trPr>
          <w:trHeight w:val="2121"/>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4</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使用电阻调速的架线式工矿电机车</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通过调整电阻阻值进行调速，消耗大量能量。其中，7吨以上（含7吨）架线式工矿电机车已被列入《禁止井工煤矿使用的设备及工艺目录》（第三批）之中</w:t>
            </w:r>
          </w:p>
        </w:tc>
        <w:tc>
          <w:tcPr>
            <w:tcW w:w="1088"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自发布之日起禁止新选用、采购，在用设备自发布之日起2年后禁止使用</w:t>
            </w:r>
          </w:p>
        </w:tc>
        <w:tc>
          <w:tcPr>
            <w:tcW w:w="873" w:type="pct"/>
            <w:vAlign w:val="center"/>
          </w:tcPr>
          <w:p w:rsidR="007942DC" w:rsidRPr="00502E88" w:rsidRDefault="007942DC" w:rsidP="00EF0BDF">
            <w:pPr>
              <w:adjustRightInd w:val="0"/>
              <w:snapToGrid w:val="0"/>
              <w:jc w:val="left"/>
              <w:rPr>
                <w:rFonts w:asciiTheme="minorEastAsia" w:hAnsiTheme="minorEastAsia"/>
                <w:sz w:val="30"/>
                <w:szCs w:val="30"/>
              </w:rPr>
            </w:pPr>
            <w:r w:rsidRPr="00502E88">
              <w:rPr>
                <w:rFonts w:asciiTheme="minorEastAsia" w:hAnsiTheme="minorEastAsia"/>
                <w:sz w:val="30"/>
                <w:szCs w:val="30"/>
              </w:rPr>
              <w:t>采用变频或直流斩波调速电机车等</w:t>
            </w:r>
          </w:p>
        </w:tc>
      </w:tr>
      <w:tr w:rsidR="007942DC" w:rsidRPr="004A73AD" w:rsidTr="007942DC">
        <w:trPr>
          <w:trHeight w:val="2548"/>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5</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排气标准在国II及以下的防爆柴油机</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技术落后，环保性差，尾气中有害气体严重超标，对井下环境造成严重污染。《煤矿安全规程（2016）》第378条规定：井下使用的矿用防爆柴油动力装置，在正常运行条件下尾气排放应当符合有关规定。</w:t>
            </w:r>
          </w:p>
        </w:tc>
        <w:tc>
          <w:tcPr>
            <w:tcW w:w="1088"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自发布之日起禁止新选用、采购，在用设备自发布之日起2年后禁止使用</w:t>
            </w:r>
          </w:p>
        </w:tc>
        <w:tc>
          <w:tcPr>
            <w:tcW w:w="873"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排放标准达到国Ш及以上排放标准的防爆柴油机机等</w:t>
            </w:r>
          </w:p>
        </w:tc>
      </w:tr>
      <w:tr w:rsidR="007942DC" w:rsidRPr="004A73AD" w:rsidTr="007942DC">
        <w:trPr>
          <w:trHeight w:val="2396"/>
          <w:jc w:val="center"/>
        </w:trPr>
        <w:tc>
          <w:tcPr>
            <w:tcW w:w="197" w:type="pct"/>
            <w:vAlign w:val="center"/>
          </w:tcPr>
          <w:p w:rsidR="007942DC" w:rsidRPr="00502E88" w:rsidRDefault="007942DC" w:rsidP="00E25638">
            <w:pPr>
              <w:adjustRightInd w:val="0"/>
              <w:snapToGrid w:val="0"/>
              <w:jc w:val="center"/>
              <w:rPr>
                <w:rFonts w:asciiTheme="minorEastAsia" w:hAnsiTheme="minorEastAsia"/>
                <w:sz w:val="30"/>
                <w:szCs w:val="30"/>
              </w:rPr>
            </w:pPr>
            <w:r w:rsidRPr="00502E88">
              <w:rPr>
                <w:rFonts w:asciiTheme="minorEastAsia" w:hAnsiTheme="minorEastAsia"/>
                <w:sz w:val="30"/>
                <w:szCs w:val="30"/>
              </w:rPr>
              <w:t>6</w:t>
            </w:r>
          </w:p>
        </w:tc>
        <w:tc>
          <w:tcPr>
            <w:tcW w:w="776"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2缸及以下防爆柴油机无轨胶轮车</w:t>
            </w:r>
          </w:p>
        </w:tc>
        <w:tc>
          <w:tcPr>
            <w:tcW w:w="2067"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配置简单，安全性能低，使用过程中多次发生事故</w:t>
            </w:r>
          </w:p>
        </w:tc>
        <w:tc>
          <w:tcPr>
            <w:tcW w:w="1088"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自发布之日起禁止新选用、采购，在用设备自发布之日起1年后禁止使用</w:t>
            </w:r>
          </w:p>
        </w:tc>
        <w:tc>
          <w:tcPr>
            <w:tcW w:w="873" w:type="pct"/>
            <w:vAlign w:val="center"/>
          </w:tcPr>
          <w:p w:rsidR="007942DC" w:rsidRPr="00502E88" w:rsidRDefault="007942DC" w:rsidP="00E25638">
            <w:pPr>
              <w:adjustRightInd w:val="0"/>
              <w:snapToGrid w:val="0"/>
              <w:rPr>
                <w:rFonts w:asciiTheme="minorEastAsia" w:hAnsiTheme="minorEastAsia"/>
                <w:sz w:val="30"/>
                <w:szCs w:val="30"/>
              </w:rPr>
            </w:pPr>
            <w:r w:rsidRPr="00502E88">
              <w:rPr>
                <w:rFonts w:asciiTheme="minorEastAsia" w:hAnsiTheme="minorEastAsia"/>
                <w:sz w:val="30"/>
                <w:szCs w:val="30"/>
              </w:rPr>
              <w:t>4缸及以上排放标准达到国Ш及以上的防爆柴油机无轨胶轮车等</w:t>
            </w:r>
          </w:p>
        </w:tc>
      </w:tr>
      <w:tr w:rsidR="007942DC" w:rsidRPr="004A73AD" w:rsidTr="007942DC">
        <w:trPr>
          <w:trHeight w:val="975"/>
          <w:jc w:val="center"/>
        </w:trPr>
        <w:tc>
          <w:tcPr>
            <w:tcW w:w="19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hint="eastAsia"/>
                <w:b/>
                <w:sz w:val="32"/>
                <w:szCs w:val="32"/>
              </w:rPr>
              <w:lastRenderedPageBreak/>
              <w:t>序号</w:t>
            </w:r>
          </w:p>
        </w:tc>
        <w:tc>
          <w:tcPr>
            <w:tcW w:w="776"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产品名称</w:t>
            </w:r>
          </w:p>
        </w:tc>
        <w:tc>
          <w:tcPr>
            <w:tcW w:w="206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禁止使用原因</w:t>
            </w:r>
          </w:p>
        </w:tc>
        <w:tc>
          <w:tcPr>
            <w:tcW w:w="1088"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禁止使用范围、</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期限</w:t>
            </w:r>
          </w:p>
        </w:tc>
        <w:tc>
          <w:tcPr>
            <w:tcW w:w="873"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替代产品</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或工艺</w:t>
            </w:r>
          </w:p>
        </w:tc>
      </w:tr>
      <w:tr w:rsidR="007942DC" w:rsidRPr="00DF4F29" w:rsidTr="007942DC">
        <w:trPr>
          <w:trHeight w:val="2263"/>
          <w:jc w:val="center"/>
        </w:trPr>
        <w:tc>
          <w:tcPr>
            <w:tcW w:w="19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7</w:t>
            </w:r>
          </w:p>
        </w:tc>
        <w:tc>
          <w:tcPr>
            <w:tcW w:w="776"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无轨胶轮车工作制动使用的干式制动器</w:t>
            </w:r>
          </w:p>
        </w:tc>
        <w:tc>
          <w:tcPr>
            <w:tcW w:w="206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制动力稳定性差，在不同路面上变化大，造成制动的可靠性较低；散热性差，易产生热量积聚，</w:t>
            </w:r>
            <w:proofErr w:type="gramStart"/>
            <w:r w:rsidRPr="00384628">
              <w:rPr>
                <w:rFonts w:asciiTheme="minorEastAsia" w:hAnsiTheme="minorEastAsia"/>
                <w:sz w:val="30"/>
                <w:szCs w:val="30"/>
              </w:rPr>
              <w:t>潜存失爆隐患</w:t>
            </w:r>
            <w:proofErr w:type="gramEnd"/>
            <w:r w:rsidRPr="00384628">
              <w:rPr>
                <w:rFonts w:asciiTheme="minorEastAsia" w:hAnsiTheme="minorEastAsia"/>
                <w:sz w:val="30"/>
                <w:szCs w:val="30"/>
              </w:rPr>
              <w:t>。《煤矿安全规程（2016）》第392条规定：井下无轨胶轮车工作制动必须采用湿式制动器</w:t>
            </w:r>
          </w:p>
        </w:tc>
        <w:tc>
          <w:tcPr>
            <w:tcW w:w="1088"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自发布之日起禁止使用</w:t>
            </w:r>
          </w:p>
        </w:tc>
        <w:tc>
          <w:tcPr>
            <w:tcW w:w="873"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湿式制动器</w:t>
            </w:r>
          </w:p>
        </w:tc>
      </w:tr>
      <w:tr w:rsidR="007942DC" w:rsidRPr="00DF4F29" w:rsidTr="007942DC">
        <w:trPr>
          <w:trHeight w:val="2833"/>
          <w:jc w:val="center"/>
        </w:trPr>
        <w:tc>
          <w:tcPr>
            <w:tcW w:w="19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8</w:t>
            </w:r>
          </w:p>
        </w:tc>
        <w:tc>
          <w:tcPr>
            <w:tcW w:w="776"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架空乘人装置用蜗轮蜗杆减速器</w:t>
            </w:r>
          </w:p>
        </w:tc>
        <w:tc>
          <w:tcPr>
            <w:tcW w:w="206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对材质要求和润滑要求高，发热量大，一旦润滑不满足要求，会对齿面造成严重损伤，存在潜在的事故隐患。实际使用中也曾多次发生事故</w:t>
            </w:r>
          </w:p>
        </w:tc>
        <w:tc>
          <w:tcPr>
            <w:tcW w:w="1088"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运输距离超过1000m或驱动功率大于55 kW的新架空乘人装置自发布之日起禁止使用；上述条件下的在用设备自发布之日起1年后禁止使用</w:t>
            </w:r>
          </w:p>
        </w:tc>
        <w:tc>
          <w:tcPr>
            <w:tcW w:w="873"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齿轮减速器，使用变频驱动、液压驱动的架空乘人装置等</w:t>
            </w:r>
          </w:p>
        </w:tc>
      </w:tr>
      <w:tr w:rsidR="007942DC" w:rsidRPr="00DF4F29" w:rsidTr="007942DC">
        <w:trPr>
          <w:trHeight w:val="1980"/>
          <w:jc w:val="center"/>
        </w:trPr>
        <w:tc>
          <w:tcPr>
            <w:tcW w:w="19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9</w:t>
            </w:r>
          </w:p>
        </w:tc>
        <w:tc>
          <w:tcPr>
            <w:tcW w:w="776"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架空乘人装置用铸造</w:t>
            </w:r>
            <w:proofErr w:type="gramStart"/>
            <w:r w:rsidRPr="00384628">
              <w:rPr>
                <w:rFonts w:asciiTheme="minorEastAsia" w:hAnsiTheme="minorEastAsia"/>
                <w:sz w:val="30"/>
                <w:szCs w:val="30"/>
              </w:rPr>
              <w:t>抱索器</w:t>
            </w:r>
            <w:proofErr w:type="gramEnd"/>
          </w:p>
        </w:tc>
        <w:tc>
          <w:tcPr>
            <w:tcW w:w="2067"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铸造工艺潜存气孔、粘砂、夹砂等缺陷，同时由于</w:t>
            </w:r>
            <w:proofErr w:type="gramStart"/>
            <w:r w:rsidRPr="00384628">
              <w:rPr>
                <w:rFonts w:asciiTheme="minorEastAsia" w:hAnsiTheme="minorEastAsia"/>
                <w:sz w:val="30"/>
                <w:szCs w:val="30"/>
              </w:rPr>
              <w:t>抱索器</w:t>
            </w:r>
            <w:proofErr w:type="gramEnd"/>
            <w:r w:rsidRPr="00384628">
              <w:rPr>
                <w:rFonts w:asciiTheme="minorEastAsia" w:hAnsiTheme="minorEastAsia"/>
                <w:sz w:val="30"/>
                <w:szCs w:val="30"/>
              </w:rPr>
              <w:t>形状不规则，无法采用现有的射线、超声探伤及表面磁粉探伤等手段进行检查，潜存较大事故隐患</w:t>
            </w:r>
          </w:p>
        </w:tc>
        <w:tc>
          <w:tcPr>
            <w:tcW w:w="1088"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自发布之日起1年后禁止使用</w:t>
            </w:r>
          </w:p>
        </w:tc>
        <w:tc>
          <w:tcPr>
            <w:tcW w:w="873" w:type="pct"/>
            <w:vAlign w:val="center"/>
          </w:tcPr>
          <w:p w:rsidR="007942DC" w:rsidRPr="00384628" w:rsidRDefault="007942DC" w:rsidP="00502E88">
            <w:pPr>
              <w:adjustRightInd w:val="0"/>
              <w:snapToGrid w:val="0"/>
              <w:rPr>
                <w:rFonts w:asciiTheme="minorEastAsia" w:hAnsiTheme="minorEastAsia"/>
                <w:sz w:val="30"/>
                <w:szCs w:val="30"/>
              </w:rPr>
            </w:pPr>
            <w:r w:rsidRPr="00384628">
              <w:rPr>
                <w:rFonts w:asciiTheme="minorEastAsia" w:hAnsiTheme="minorEastAsia"/>
                <w:sz w:val="30"/>
                <w:szCs w:val="30"/>
              </w:rPr>
              <w:t>锻造或锻压</w:t>
            </w:r>
            <w:proofErr w:type="gramStart"/>
            <w:r w:rsidRPr="00384628">
              <w:rPr>
                <w:rFonts w:asciiTheme="minorEastAsia" w:hAnsiTheme="minorEastAsia"/>
                <w:sz w:val="30"/>
                <w:szCs w:val="30"/>
              </w:rPr>
              <w:t>抱索器</w:t>
            </w:r>
            <w:proofErr w:type="gramEnd"/>
            <w:r w:rsidRPr="00384628">
              <w:rPr>
                <w:rFonts w:asciiTheme="minorEastAsia" w:hAnsiTheme="minorEastAsia"/>
                <w:sz w:val="30"/>
                <w:szCs w:val="30"/>
              </w:rPr>
              <w:t>等</w:t>
            </w:r>
          </w:p>
        </w:tc>
      </w:tr>
      <w:tr w:rsidR="007942DC" w:rsidRPr="00DF4F29" w:rsidTr="007942DC">
        <w:trPr>
          <w:trHeight w:val="975"/>
          <w:jc w:val="center"/>
        </w:trPr>
        <w:tc>
          <w:tcPr>
            <w:tcW w:w="19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hint="eastAsia"/>
                <w:b/>
                <w:sz w:val="32"/>
                <w:szCs w:val="32"/>
              </w:rPr>
              <w:lastRenderedPageBreak/>
              <w:t>序号</w:t>
            </w:r>
          </w:p>
        </w:tc>
        <w:tc>
          <w:tcPr>
            <w:tcW w:w="776"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产品名称</w:t>
            </w:r>
          </w:p>
        </w:tc>
        <w:tc>
          <w:tcPr>
            <w:tcW w:w="206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禁止使用原因</w:t>
            </w:r>
          </w:p>
        </w:tc>
        <w:tc>
          <w:tcPr>
            <w:tcW w:w="1088"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禁止使用范围、</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期限</w:t>
            </w:r>
          </w:p>
        </w:tc>
        <w:tc>
          <w:tcPr>
            <w:tcW w:w="873"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替代产品</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或工艺</w:t>
            </w:r>
          </w:p>
        </w:tc>
      </w:tr>
      <w:tr w:rsidR="007942DC" w:rsidRPr="00DF4F29" w:rsidTr="00502E88">
        <w:trPr>
          <w:trHeight w:val="1848"/>
          <w:jc w:val="center"/>
        </w:trPr>
        <w:tc>
          <w:tcPr>
            <w:tcW w:w="197" w:type="pct"/>
            <w:vAlign w:val="center"/>
          </w:tcPr>
          <w:p w:rsidR="007942DC" w:rsidRPr="00384628" w:rsidRDefault="007942DC" w:rsidP="00E25638">
            <w:pPr>
              <w:adjustRightInd w:val="0"/>
              <w:snapToGrid w:val="0"/>
              <w:jc w:val="center"/>
              <w:rPr>
                <w:rFonts w:asciiTheme="minorEastAsia" w:hAnsiTheme="minorEastAsia"/>
                <w:sz w:val="30"/>
                <w:szCs w:val="30"/>
              </w:rPr>
            </w:pPr>
            <w:r w:rsidRPr="00384628">
              <w:rPr>
                <w:rFonts w:asciiTheme="minorEastAsia" w:hAnsiTheme="minorEastAsia"/>
                <w:sz w:val="30"/>
                <w:szCs w:val="30"/>
              </w:rPr>
              <w:t>10</w:t>
            </w:r>
          </w:p>
        </w:tc>
        <w:tc>
          <w:tcPr>
            <w:tcW w:w="776"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带式制动矿用提升绞车</w:t>
            </w:r>
          </w:p>
        </w:tc>
        <w:tc>
          <w:tcPr>
            <w:tcW w:w="2067"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由于自身结构限制，存在制动力矩小、带绳跑和放飞车等潜在安全隐患</w:t>
            </w:r>
          </w:p>
        </w:tc>
        <w:tc>
          <w:tcPr>
            <w:tcW w:w="1088"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自发布之日起禁止使用</w:t>
            </w:r>
          </w:p>
        </w:tc>
        <w:tc>
          <w:tcPr>
            <w:tcW w:w="873"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JTP型提升绞车等</w:t>
            </w:r>
          </w:p>
        </w:tc>
      </w:tr>
      <w:tr w:rsidR="007942DC" w:rsidRPr="00DF4F29" w:rsidTr="00502E88">
        <w:trPr>
          <w:trHeight w:val="2525"/>
          <w:jc w:val="center"/>
        </w:trPr>
        <w:tc>
          <w:tcPr>
            <w:tcW w:w="197" w:type="pct"/>
            <w:vAlign w:val="center"/>
          </w:tcPr>
          <w:p w:rsidR="007942DC" w:rsidRPr="00384628" w:rsidRDefault="007942DC" w:rsidP="00E25638">
            <w:pPr>
              <w:adjustRightInd w:val="0"/>
              <w:snapToGrid w:val="0"/>
              <w:jc w:val="center"/>
              <w:rPr>
                <w:rFonts w:asciiTheme="minorEastAsia" w:hAnsiTheme="minorEastAsia"/>
                <w:sz w:val="30"/>
                <w:szCs w:val="30"/>
              </w:rPr>
            </w:pPr>
            <w:r w:rsidRPr="00384628">
              <w:rPr>
                <w:rFonts w:asciiTheme="minorEastAsia" w:hAnsiTheme="minorEastAsia"/>
                <w:sz w:val="30"/>
                <w:szCs w:val="30"/>
              </w:rPr>
              <w:t>11</w:t>
            </w:r>
          </w:p>
        </w:tc>
        <w:tc>
          <w:tcPr>
            <w:tcW w:w="776"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煤矿井下输送瓦斯用玻璃钢管材</w:t>
            </w:r>
          </w:p>
        </w:tc>
        <w:tc>
          <w:tcPr>
            <w:tcW w:w="2067"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本身较脆、抗冲击性能较差，潜存较大事故隐患。AQ 1027-2006《煤矿瓦斯抽放规范》明确规定煤矿井下瓦斯抽放管路禁止采用玻璃钢管</w:t>
            </w:r>
          </w:p>
        </w:tc>
        <w:tc>
          <w:tcPr>
            <w:tcW w:w="1088"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自发布之日起禁止使用</w:t>
            </w:r>
          </w:p>
        </w:tc>
        <w:tc>
          <w:tcPr>
            <w:tcW w:w="873"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hint="eastAsia"/>
                <w:sz w:val="30"/>
                <w:szCs w:val="30"/>
              </w:rPr>
              <w:t>钢管、复合管</w:t>
            </w:r>
            <w:r w:rsidRPr="00384628">
              <w:rPr>
                <w:rFonts w:asciiTheme="minorEastAsia" w:hAnsiTheme="minorEastAsia"/>
                <w:sz w:val="30"/>
                <w:szCs w:val="30"/>
              </w:rPr>
              <w:t>等</w:t>
            </w:r>
          </w:p>
        </w:tc>
      </w:tr>
      <w:tr w:rsidR="007942DC" w:rsidRPr="00DF4F29" w:rsidTr="00502E88">
        <w:trPr>
          <w:trHeight w:val="3114"/>
          <w:jc w:val="center"/>
        </w:trPr>
        <w:tc>
          <w:tcPr>
            <w:tcW w:w="197" w:type="pct"/>
            <w:vAlign w:val="center"/>
          </w:tcPr>
          <w:p w:rsidR="007942DC" w:rsidRPr="00384628" w:rsidRDefault="007942DC" w:rsidP="00E25638">
            <w:pPr>
              <w:adjustRightInd w:val="0"/>
              <w:snapToGrid w:val="0"/>
              <w:jc w:val="center"/>
              <w:rPr>
                <w:rFonts w:asciiTheme="minorEastAsia" w:hAnsiTheme="minorEastAsia"/>
                <w:sz w:val="30"/>
                <w:szCs w:val="30"/>
              </w:rPr>
            </w:pPr>
            <w:r w:rsidRPr="00384628">
              <w:rPr>
                <w:rFonts w:asciiTheme="minorEastAsia" w:hAnsiTheme="minorEastAsia"/>
                <w:sz w:val="30"/>
                <w:szCs w:val="30"/>
              </w:rPr>
              <w:t>12</w:t>
            </w:r>
          </w:p>
        </w:tc>
        <w:tc>
          <w:tcPr>
            <w:tcW w:w="776"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辅助通风机</w:t>
            </w:r>
          </w:p>
        </w:tc>
        <w:tc>
          <w:tcPr>
            <w:tcW w:w="2067"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辅助通风机及其配套电气设备设置在井下，存在事故隐患；管理不善时，易造成通风系统不稳定、不可靠，且通风能力有限；突发紧急情况下抗灾能力差。《煤矿安全规程（2016）》第158条明确规定：井下严禁安设辅助通风机</w:t>
            </w:r>
          </w:p>
        </w:tc>
        <w:tc>
          <w:tcPr>
            <w:tcW w:w="1088"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自发布之日起禁止使用</w:t>
            </w:r>
          </w:p>
        </w:tc>
        <w:tc>
          <w:tcPr>
            <w:tcW w:w="873" w:type="pct"/>
            <w:vAlign w:val="center"/>
          </w:tcPr>
          <w:p w:rsidR="007942DC" w:rsidRPr="00384628" w:rsidRDefault="007942DC" w:rsidP="00E25638">
            <w:pPr>
              <w:adjustRightInd w:val="0"/>
              <w:snapToGrid w:val="0"/>
              <w:rPr>
                <w:rFonts w:asciiTheme="minorEastAsia" w:hAnsiTheme="minorEastAsia"/>
                <w:sz w:val="30"/>
                <w:szCs w:val="30"/>
              </w:rPr>
            </w:pPr>
          </w:p>
        </w:tc>
      </w:tr>
      <w:tr w:rsidR="007942DC" w:rsidRPr="00DF4F29" w:rsidTr="007942DC">
        <w:trPr>
          <w:trHeight w:val="549"/>
          <w:jc w:val="center"/>
        </w:trPr>
        <w:tc>
          <w:tcPr>
            <w:tcW w:w="19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hint="eastAsia"/>
                <w:b/>
                <w:sz w:val="32"/>
                <w:szCs w:val="32"/>
              </w:rPr>
              <w:lastRenderedPageBreak/>
              <w:t>序号</w:t>
            </w:r>
          </w:p>
        </w:tc>
        <w:tc>
          <w:tcPr>
            <w:tcW w:w="776"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产品名称</w:t>
            </w:r>
          </w:p>
        </w:tc>
        <w:tc>
          <w:tcPr>
            <w:tcW w:w="2067" w:type="pct"/>
            <w:vAlign w:val="center"/>
          </w:tcPr>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禁止使用原因</w:t>
            </w:r>
          </w:p>
        </w:tc>
        <w:tc>
          <w:tcPr>
            <w:tcW w:w="1088"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禁止使用范围、</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期限</w:t>
            </w:r>
          </w:p>
        </w:tc>
        <w:tc>
          <w:tcPr>
            <w:tcW w:w="873" w:type="pct"/>
            <w:vAlign w:val="center"/>
          </w:tcPr>
          <w:p w:rsidR="007942DC" w:rsidRPr="00384628" w:rsidRDefault="007942DC" w:rsidP="00E25638">
            <w:pPr>
              <w:adjustRightInd w:val="0"/>
              <w:snapToGrid w:val="0"/>
              <w:jc w:val="center"/>
              <w:rPr>
                <w:rFonts w:ascii="Times New Roman" w:eastAsia="宋体" w:hAnsi="Times New Roman" w:cs="Times New Roman"/>
                <w:b/>
                <w:sz w:val="32"/>
                <w:szCs w:val="32"/>
              </w:rPr>
            </w:pPr>
            <w:r w:rsidRPr="00384628">
              <w:rPr>
                <w:rFonts w:ascii="Times New Roman" w:eastAsia="宋体" w:hAnsi="Times New Roman" w:cs="Times New Roman"/>
                <w:b/>
                <w:sz w:val="32"/>
                <w:szCs w:val="32"/>
              </w:rPr>
              <w:t>替代产品</w:t>
            </w:r>
          </w:p>
          <w:p w:rsidR="007942DC" w:rsidRPr="00384628" w:rsidRDefault="007942DC" w:rsidP="00E25638">
            <w:pPr>
              <w:adjustRightInd w:val="0"/>
              <w:snapToGrid w:val="0"/>
              <w:jc w:val="center"/>
              <w:rPr>
                <w:rFonts w:ascii="Times New Roman" w:eastAsia="宋体" w:hAnsi="Times New Roman" w:cs="Times New Roman" w:hint="eastAsia"/>
                <w:b/>
                <w:sz w:val="32"/>
                <w:szCs w:val="32"/>
              </w:rPr>
            </w:pPr>
            <w:r w:rsidRPr="00384628">
              <w:rPr>
                <w:rFonts w:ascii="Times New Roman" w:eastAsia="宋体" w:hAnsi="Times New Roman" w:cs="Times New Roman"/>
                <w:b/>
                <w:sz w:val="32"/>
                <w:szCs w:val="32"/>
              </w:rPr>
              <w:t>或工艺</w:t>
            </w:r>
          </w:p>
        </w:tc>
      </w:tr>
      <w:tr w:rsidR="007942DC" w:rsidRPr="00DF4F29" w:rsidTr="00502E88">
        <w:trPr>
          <w:trHeight w:val="2412"/>
          <w:jc w:val="center"/>
        </w:trPr>
        <w:tc>
          <w:tcPr>
            <w:tcW w:w="197" w:type="pct"/>
            <w:vAlign w:val="center"/>
          </w:tcPr>
          <w:p w:rsidR="007942DC" w:rsidRPr="00384628" w:rsidRDefault="007942DC" w:rsidP="00E25638">
            <w:pPr>
              <w:adjustRightInd w:val="0"/>
              <w:snapToGrid w:val="0"/>
              <w:jc w:val="center"/>
              <w:rPr>
                <w:rFonts w:asciiTheme="minorEastAsia" w:hAnsiTheme="minorEastAsia"/>
                <w:sz w:val="30"/>
                <w:szCs w:val="30"/>
              </w:rPr>
            </w:pPr>
            <w:r w:rsidRPr="00384628">
              <w:rPr>
                <w:rFonts w:asciiTheme="minorEastAsia" w:hAnsiTheme="minorEastAsia"/>
                <w:sz w:val="30"/>
                <w:szCs w:val="30"/>
              </w:rPr>
              <w:t>13</w:t>
            </w:r>
          </w:p>
        </w:tc>
        <w:tc>
          <w:tcPr>
            <w:tcW w:w="776"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15kg/m及以下钢轨</w:t>
            </w:r>
          </w:p>
        </w:tc>
        <w:tc>
          <w:tcPr>
            <w:tcW w:w="2067"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强度较低，承重、限制车辆运行方向等的能力较差，在列车重复荷载作用下冲击振动较大,潜存较大脱轨、颠覆事故风险。《煤矿安全规程（2016）》第380条明确规定：轨道线路应当使用不小于18kg/m的钢轨</w:t>
            </w:r>
          </w:p>
        </w:tc>
        <w:tc>
          <w:tcPr>
            <w:tcW w:w="1088"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自发布之日起禁止使用</w:t>
            </w:r>
          </w:p>
        </w:tc>
        <w:tc>
          <w:tcPr>
            <w:tcW w:w="873" w:type="pct"/>
            <w:vAlign w:val="center"/>
          </w:tcPr>
          <w:p w:rsidR="007942DC" w:rsidRPr="00384628" w:rsidRDefault="007942DC" w:rsidP="00E25638">
            <w:pPr>
              <w:adjustRightInd w:val="0"/>
              <w:snapToGrid w:val="0"/>
              <w:rPr>
                <w:rFonts w:asciiTheme="minorEastAsia" w:hAnsiTheme="minorEastAsia"/>
                <w:sz w:val="30"/>
                <w:szCs w:val="30"/>
              </w:rPr>
            </w:pPr>
            <w:r w:rsidRPr="00384628">
              <w:rPr>
                <w:rFonts w:asciiTheme="minorEastAsia" w:hAnsiTheme="minorEastAsia"/>
                <w:sz w:val="30"/>
                <w:szCs w:val="30"/>
              </w:rPr>
              <w:t>18kg/m及以上钢轨</w:t>
            </w:r>
          </w:p>
        </w:tc>
      </w:tr>
      <w:tr w:rsidR="007942DC" w:rsidRPr="00DF4F29" w:rsidTr="00502E88">
        <w:trPr>
          <w:trHeight w:val="2262"/>
          <w:jc w:val="center"/>
        </w:trPr>
        <w:tc>
          <w:tcPr>
            <w:tcW w:w="197" w:type="pct"/>
            <w:vAlign w:val="center"/>
          </w:tcPr>
          <w:p w:rsidR="007942DC" w:rsidRPr="00DF4F29" w:rsidRDefault="007942DC" w:rsidP="00E25638">
            <w:pPr>
              <w:adjustRightInd w:val="0"/>
              <w:snapToGrid w:val="0"/>
              <w:jc w:val="center"/>
              <w:rPr>
                <w:rFonts w:asciiTheme="minorEastAsia" w:hAnsiTheme="minorEastAsia"/>
                <w:sz w:val="30"/>
                <w:szCs w:val="30"/>
              </w:rPr>
            </w:pPr>
            <w:r w:rsidRPr="00DF4F29">
              <w:rPr>
                <w:rFonts w:asciiTheme="minorEastAsia" w:hAnsiTheme="minorEastAsia"/>
                <w:sz w:val="30"/>
                <w:szCs w:val="30"/>
              </w:rPr>
              <w:t>14</w:t>
            </w:r>
          </w:p>
        </w:tc>
        <w:tc>
          <w:tcPr>
            <w:tcW w:w="776"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吊罐式凿井法</w:t>
            </w:r>
          </w:p>
        </w:tc>
        <w:tc>
          <w:tcPr>
            <w:tcW w:w="2067" w:type="pct"/>
            <w:vAlign w:val="center"/>
          </w:tcPr>
          <w:p w:rsidR="007942DC" w:rsidRPr="00DF4F29" w:rsidRDefault="007942DC" w:rsidP="004A73AD">
            <w:pPr>
              <w:adjustRightInd w:val="0"/>
              <w:snapToGrid w:val="0"/>
              <w:jc w:val="left"/>
              <w:rPr>
                <w:rFonts w:asciiTheme="minorEastAsia" w:hAnsiTheme="minorEastAsia"/>
                <w:sz w:val="30"/>
                <w:szCs w:val="30"/>
              </w:rPr>
            </w:pPr>
            <w:r w:rsidRPr="00DF4F29">
              <w:rPr>
                <w:rFonts w:asciiTheme="minorEastAsia" w:hAnsiTheme="minorEastAsia"/>
                <w:sz w:val="30"/>
                <w:szCs w:val="30"/>
              </w:rPr>
              <w:t>事先要完成精度较高的绳眼，随着深度增加，前期准备工作时间较长；工作面易集聚有害气体，粉尘和淋水较大，工作条件差。《煤矿安全规程（2016）》删除了该项方法</w:t>
            </w:r>
          </w:p>
        </w:tc>
        <w:tc>
          <w:tcPr>
            <w:tcW w:w="1088" w:type="pct"/>
            <w:vAlign w:val="center"/>
          </w:tcPr>
          <w:p w:rsidR="007942DC" w:rsidRPr="00DF4F29" w:rsidRDefault="007942DC" w:rsidP="004A73AD">
            <w:pPr>
              <w:adjustRightInd w:val="0"/>
              <w:snapToGrid w:val="0"/>
              <w:jc w:val="left"/>
              <w:rPr>
                <w:rFonts w:asciiTheme="minorEastAsia" w:hAnsiTheme="minorEastAsia"/>
                <w:sz w:val="30"/>
                <w:szCs w:val="30"/>
              </w:rPr>
            </w:pPr>
            <w:r w:rsidRPr="00DF4F29">
              <w:rPr>
                <w:rFonts w:asciiTheme="minorEastAsia" w:hAnsiTheme="minorEastAsia"/>
                <w:sz w:val="30"/>
                <w:szCs w:val="30"/>
              </w:rPr>
              <w:t>自发布之日起禁止使用</w:t>
            </w:r>
          </w:p>
        </w:tc>
        <w:tc>
          <w:tcPr>
            <w:tcW w:w="873" w:type="pct"/>
            <w:vAlign w:val="center"/>
          </w:tcPr>
          <w:p w:rsidR="007942DC" w:rsidRPr="00DF4F29" w:rsidRDefault="007942DC" w:rsidP="004A73AD">
            <w:pPr>
              <w:adjustRightInd w:val="0"/>
              <w:snapToGrid w:val="0"/>
              <w:jc w:val="center"/>
              <w:rPr>
                <w:rFonts w:asciiTheme="minorEastAsia" w:hAnsiTheme="minorEastAsia"/>
                <w:sz w:val="30"/>
                <w:szCs w:val="30"/>
              </w:rPr>
            </w:pPr>
            <w:r w:rsidRPr="00DF4F29">
              <w:rPr>
                <w:rFonts w:asciiTheme="minorEastAsia" w:hAnsiTheme="minorEastAsia"/>
                <w:sz w:val="30"/>
                <w:szCs w:val="30"/>
              </w:rPr>
              <w:t>反井钻机钻井法等</w:t>
            </w:r>
          </w:p>
        </w:tc>
      </w:tr>
      <w:tr w:rsidR="007942DC" w:rsidRPr="00DF4F29" w:rsidTr="00502E88">
        <w:trPr>
          <w:trHeight w:val="1401"/>
          <w:jc w:val="center"/>
        </w:trPr>
        <w:tc>
          <w:tcPr>
            <w:tcW w:w="197" w:type="pct"/>
            <w:vAlign w:val="center"/>
          </w:tcPr>
          <w:p w:rsidR="007942DC" w:rsidRPr="00DF4F29" w:rsidRDefault="007942DC" w:rsidP="00E25638">
            <w:pPr>
              <w:adjustRightInd w:val="0"/>
              <w:snapToGrid w:val="0"/>
              <w:jc w:val="center"/>
              <w:rPr>
                <w:rFonts w:asciiTheme="minorEastAsia" w:hAnsiTheme="minorEastAsia"/>
                <w:sz w:val="30"/>
                <w:szCs w:val="30"/>
              </w:rPr>
            </w:pPr>
            <w:r w:rsidRPr="00DF4F29">
              <w:rPr>
                <w:rFonts w:asciiTheme="minorEastAsia" w:hAnsiTheme="minorEastAsia"/>
                <w:sz w:val="30"/>
                <w:szCs w:val="30"/>
              </w:rPr>
              <w:t>15</w:t>
            </w:r>
          </w:p>
        </w:tc>
        <w:tc>
          <w:tcPr>
            <w:tcW w:w="776"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木垛盘支护凿井法</w:t>
            </w:r>
          </w:p>
        </w:tc>
        <w:tc>
          <w:tcPr>
            <w:tcW w:w="2067"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劳动强度大，掘进速度慢</w:t>
            </w:r>
            <w:r w:rsidRPr="00DF4F29">
              <w:rPr>
                <w:rFonts w:asciiTheme="minorEastAsia" w:hAnsiTheme="minorEastAsia" w:hint="eastAsia"/>
                <w:sz w:val="30"/>
                <w:szCs w:val="30"/>
              </w:rPr>
              <w:t>、</w:t>
            </w:r>
            <w:r w:rsidRPr="00DF4F29">
              <w:rPr>
                <w:rFonts w:asciiTheme="minorEastAsia" w:hAnsiTheme="minorEastAsia"/>
                <w:sz w:val="30"/>
                <w:szCs w:val="30"/>
              </w:rPr>
              <w:t>工效低</w:t>
            </w:r>
            <w:r w:rsidRPr="00DF4F29">
              <w:rPr>
                <w:rFonts w:asciiTheme="minorEastAsia" w:hAnsiTheme="minorEastAsia" w:hint="eastAsia"/>
                <w:sz w:val="30"/>
                <w:szCs w:val="30"/>
              </w:rPr>
              <w:t>、</w:t>
            </w:r>
            <w:r w:rsidRPr="00DF4F29">
              <w:rPr>
                <w:rFonts w:asciiTheme="minorEastAsia" w:hAnsiTheme="minorEastAsia"/>
                <w:sz w:val="30"/>
                <w:szCs w:val="30"/>
              </w:rPr>
              <w:t>耗材高，易发生瓦斯积聚和坠井事故。《煤矿安全规程（2016）》删除了该项方法</w:t>
            </w:r>
          </w:p>
        </w:tc>
        <w:tc>
          <w:tcPr>
            <w:tcW w:w="1088"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自发布之日起禁止使用</w:t>
            </w:r>
          </w:p>
        </w:tc>
        <w:tc>
          <w:tcPr>
            <w:tcW w:w="873"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反井钻机钻井法等</w:t>
            </w:r>
          </w:p>
        </w:tc>
      </w:tr>
      <w:tr w:rsidR="007942DC" w:rsidRPr="00DF4F29" w:rsidTr="00502E88">
        <w:trPr>
          <w:trHeight w:val="1265"/>
          <w:jc w:val="center"/>
        </w:trPr>
        <w:tc>
          <w:tcPr>
            <w:tcW w:w="197" w:type="pct"/>
            <w:vAlign w:val="center"/>
          </w:tcPr>
          <w:p w:rsidR="007942DC" w:rsidRPr="00DF4F29" w:rsidRDefault="007942DC" w:rsidP="00E25638">
            <w:pPr>
              <w:adjustRightInd w:val="0"/>
              <w:snapToGrid w:val="0"/>
              <w:jc w:val="center"/>
              <w:rPr>
                <w:rFonts w:asciiTheme="minorEastAsia" w:hAnsiTheme="minorEastAsia"/>
                <w:sz w:val="30"/>
                <w:szCs w:val="30"/>
              </w:rPr>
            </w:pPr>
            <w:r w:rsidRPr="00DF4F29">
              <w:rPr>
                <w:rFonts w:asciiTheme="minorEastAsia" w:hAnsiTheme="minorEastAsia"/>
                <w:sz w:val="30"/>
                <w:szCs w:val="30"/>
              </w:rPr>
              <w:t>16</w:t>
            </w:r>
          </w:p>
        </w:tc>
        <w:tc>
          <w:tcPr>
            <w:tcW w:w="776"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hint="eastAsia"/>
                <w:sz w:val="30"/>
                <w:szCs w:val="30"/>
              </w:rPr>
              <w:t>采用</w:t>
            </w:r>
            <w:r w:rsidRPr="00DF4F29">
              <w:rPr>
                <w:rFonts w:asciiTheme="minorEastAsia" w:hAnsiTheme="minorEastAsia"/>
                <w:sz w:val="30"/>
                <w:szCs w:val="30"/>
              </w:rPr>
              <w:t>滑移、悬移支架放顶煤工艺</w:t>
            </w:r>
          </w:p>
        </w:tc>
        <w:tc>
          <w:tcPr>
            <w:tcW w:w="2067"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支护稳定性差，易发生倒架、伤人事故</w:t>
            </w:r>
          </w:p>
        </w:tc>
        <w:tc>
          <w:tcPr>
            <w:tcW w:w="1088"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自发布之日起1年后禁止使用</w:t>
            </w:r>
          </w:p>
        </w:tc>
        <w:tc>
          <w:tcPr>
            <w:tcW w:w="873" w:type="pct"/>
            <w:vAlign w:val="center"/>
          </w:tcPr>
          <w:p w:rsidR="007942DC" w:rsidRPr="00DF4F29" w:rsidRDefault="007942DC" w:rsidP="00E25638">
            <w:pPr>
              <w:adjustRightInd w:val="0"/>
              <w:snapToGrid w:val="0"/>
              <w:rPr>
                <w:rFonts w:asciiTheme="minorEastAsia" w:hAnsiTheme="minorEastAsia"/>
                <w:sz w:val="30"/>
                <w:szCs w:val="30"/>
              </w:rPr>
            </w:pPr>
            <w:r w:rsidRPr="00DF4F29">
              <w:rPr>
                <w:rFonts w:asciiTheme="minorEastAsia" w:hAnsiTheme="minorEastAsia"/>
                <w:sz w:val="30"/>
                <w:szCs w:val="30"/>
              </w:rPr>
              <w:t>综放液压支架放顶煤工艺等</w:t>
            </w:r>
          </w:p>
        </w:tc>
      </w:tr>
    </w:tbl>
    <w:p w:rsidR="00EF0BDF" w:rsidRPr="00DF4F29" w:rsidRDefault="004A73AD" w:rsidP="00DF4F29">
      <w:pPr>
        <w:jc w:val="left"/>
        <w:outlineLvl w:val="0"/>
        <w:rPr>
          <w:rFonts w:asciiTheme="minorEastAsia" w:hAnsiTheme="minorEastAsia" w:hint="eastAsia"/>
          <w:sz w:val="30"/>
          <w:szCs w:val="30"/>
        </w:rPr>
      </w:pPr>
      <w:r w:rsidRPr="00DF4F29">
        <w:rPr>
          <w:rFonts w:asciiTheme="minorEastAsia" w:hAnsiTheme="minorEastAsia"/>
          <w:sz w:val="30"/>
          <w:szCs w:val="30"/>
        </w:rPr>
        <w:t>备注：“替代产品及工艺”列举的技术装备和工艺仅为推荐使用。</w:t>
      </w:r>
    </w:p>
    <w:sectPr w:rsidR="00EF0BDF" w:rsidRPr="00DF4F29" w:rsidSect="00502E88">
      <w:footerReference w:type="default" r:id="rId7"/>
      <w:pgSz w:w="16838" w:h="11906" w:orient="landscape"/>
      <w:pgMar w:top="1440" w:right="1080" w:bottom="1440" w:left="108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C1" w:rsidRDefault="007E62C1" w:rsidP="00EF09F4">
      <w:r>
        <w:separator/>
      </w:r>
    </w:p>
  </w:endnote>
  <w:endnote w:type="continuationSeparator" w:id="0">
    <w:p w:rsidR="007E62C1" w:rsidRDefault="007E62C1" w:rsidP="00EF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36263"/>
      <w:docPartObj>
        <w:docPartGallery w:val="Page Numbers (Bottom of Page)"/>
        <w:docPartUnique/>
      </w:docPartObj>
    </w:sdtPr>
    <w:sdtContent>
      <w:p w:rsidR="0049308B" w:rsidRDefault="0049308B">
        <w:pPr>
          <w:pStyle w:val="a4"/>
          <w:jc w:val="center"/>
        </w:pPr>
        <w:r>
          <w:fldChar w:fldCharType="begin"/>
        </w:r>
        <w:r>
          <w:instrText>PAGE   \* MERGEFORMAT</w:instrText>
        </w:r>
        <w:r>
          <w:fldChar w:fldCharType="separate"/>
        </w:r>
        <w:r w:rsidR="00502E88" w:rsidRPr="00502E88">
          <w:rPr>
            <w:noProof/>
            <w:lang w:val="zh-CN"/>
          </w:rPr>
          <w:t>1</w:t>
        </w:r>
        <w:r>
          <w:fldChar w:fldCharType="end"/>
        </w:r>
      </w:p>
    </w:sdtContent>
  </w:sdt>
  <w:p w:rsidR="0049308B" w:rsidRDefault="004930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C1" w:rsidRDefault="007E62C1" w:rsidP="00EF09F4">
      <w:r>
        <w:separator/>
      </w:r>
    </w:p>
  </w:footnote>
  <w:footnote w:type="continuationSeparator" w:id="0">
    <w:p w:rsidR="007E62C1" w:rsidRDefault="007E62C1" w:rsidP="00EF0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1F"/>
    <w:rsid w:val="00147CB1"/>
    <w:rsid w:val="00193070"/>
    <w:rsid w:val="001F2057"/>
    <w:rsid w:val="00333510"/>
    <w:rsid w:val="00384628"/>
    <w:rsid w:val="003A6A32"/>
    <w:rsid w:val="0049308B"/>
    <w:rsid w:val="004A73AD"/>
    <w:rsid w:val="00502E88"/>
    <w:rsid w:val="007942DC"/>
    <w:rsid w:val="007E62C1"/>
    <w:rsid w:val="009A5EE2"/>
    <w:rsid w:val="009A7AD1"/>
    <w:rsid w:val="00A15FD9"/>
    <w:rsid w:val="00A84B1F"/>
    <w:rsid w:val="00B10154"/>
    <w:rsid w:val="00DF4F29"/>
    <w:rsid w:val="00EF09F4"/>
    <w:rsid w:val="00EF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9F4"/>
    <w:rPr>
      <w:sz w:val="18"/>
      <w:szCs w:val="18"/>
    </w:rPr>
  </w:style>
  <w:style w:type="paragraph" w:styleId="a4">
    <w:name w:val="footer"/>
    <w:basedOn w:val="a"/>
    <w:link w:val="Char0"/>
    <w:uiPriority w:val="99"/>
    <w:unhideWhenUsed/>
    <w:rsid w:val="00EF09F4"/>
    <w:pPr>
      <w:tabs>
        <w:tab w:val="center" w:pos="4153"/>
        <w:tab w:val="right" w:pos="8306"/>
      </w:tabs>
      <w:snapToGrid w:val="0"/>
      <w:jc w:val="left"/>
    </w:pPr>
    <w:rPr>
      <w:sz w:val="18"/>
      <w:szCs w:val="18"/>
    </w:rPr>
  </w:style>
  <w:style w:type="character" w:customStyle="1" w:styleId="Char0">
    <w:name w:val="页脚 Char"/>
    <w:basedOn w:val="a0"/>
    <w:link w:val="a4"/>
    <w:uiPriority w:val="99"/>
    <w:rsid w:val="00EF09F4"/>
    <w:rPr>
      <w:sz w:val="18"/>
      <w:szCs w:val="18"/>
    </w:rPr>
  </w:style>
  <w:style w:type="table" w:styleId="a5">
    <w:name w:val="Table Grid"/>
    <w:basedOn w:val="a1"/>
    <w:uiPriority w:val="59"/>
    <w:rsid w:val="00EF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9F4"/>
    <w:rPr>
      <w:sz w:val="18"/>
      <w:szCs w:val="18"/>
    </w:rPr>
  </w:style>
  <w:style w:type="paragraph" w:styleId="a4">
    <w:name w:val="footer"/>
    <w:basedOn w:val="a"/>
    <w:link w:val="Char0"/>
    <w:uiPriority w:val="99"/>
    <w:unhideWhenUsed/>
    <w:rsid w:val="00EF09F4"/>
    <w:pPr>
      <w:tabs>
        <w:tab w:val="center" w:pos="4153"/>
        <w:tab w:val="right" w:pos="8306"/>
      </w:tabs>
      <w:snapToGrid w:val="0"/>
      <w:jc w:val="left"/>
    </w:pPr>
    <w:rPr>
      <w:sz w:val="18"/>
      <w:szCs w:val="18"/>
    </w:rPr>
  </w:style>
  <w:style w:type="character" w:customStyle="1" w:styleId="Char0">
    <w:name w:val="页脚 Char"/>
    <w:basedOn w:val="a0"/>
    <w:link w:val="a4"/>
    <w:uiPriority w:val="99"/>
    <w:rsid w:val="00EF09F4"/>
    <w:rPr>
      <w:sz w:val="18"/>
      <w:szCs w:val="18"/>
    </w:rPr>
  </w:style>
  <w:style w:type="table" w:styleId="a5">
    <w:name w:val="Table Grid"/>
    <w:basedOn w:val="a1"/>
    <w:uiPriority w:val="59"/>
    <w:rsid w:val="00EF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孙凡占(拟稿)</dc:creator>
  <cp:keywords/>
  <dc:description/>
  <cp:lastModifiedBy>孙凡占(拟稿)</cp:lastModifiedBy>
  <cp:revision>22</cp:revision>
  <dcterms:created xsi:type="dcterms:W3CDTF">2018-12-24T08:07:00Z</dcterms:created>
  <dcterms:modified xsi:type="dcterms:W3CDTF">2018-12-25T02:35:00Z</dcterms:modified>
</cp:coreProperties>
</file>