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DE" w:rsidRPr="009C4960" w:rsidRDefault="000A55DE" w:rsidP="000A55DE">
      <w:pPr>
        <w:widowControl/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bookmarkStart w:id="0" w:name="_GoBack"/>
      <w:bookmarkEnd w:id="0"/>
      <w:r w:rsidRPr="009C4960">
        <w:rPr>
          <w:rFonts w:ascii="黑体" w:eastAsia="黑体" w:hAnsi="黑体" w:cs="仿宋_GB2312" w:hint="eastAsia"/>
          <w:color w:val="000000"/>
          <w:sz w:val="32"/>
          <w:szCs w:val="32"/>
        </w:rPr>
        <w:t>附件1</w:t>
      </w:r>
    </w:p>
    <w:p w:rsidR="000A55DE" w:rsidRPr="009C4960" w:rsidRDefault="000A55DE" w:rsidP="000A55DE">
      <w:pPr>
        <w:widowControl/>
        <w:adjustRightInd w:val="0"/>
        <w:snapToGrid w:val="0"/>
        <w:spacing w:beforeLines="100" w:before="312" w:afterLines="100" w:after="312"/>
        <w:jc w:val="center"/>
        <w:rPr>
          <w:rFonts w:ascii="方正小标宋简体" w:eastAsia="方正小标宋简体" w:hAnsi="黑体" w:cs="仿宋_GB2312"/>
          <w:color w:val="000000"/>
          <w:sz w:val="44"/>
          <w:szCs w:val="44"/>
        </w:rPr>
      </w:pPr>
      <w:r w:rsidRPr="009C4960">
        <w:rPr>
          <w:rFonts w:ascii="方正小标宋简体" w:eastAsia="方正小标宋简体" w:hAnsi="黑体" w:hint="eastAsia"/>
          <w:color w:val="000000"/>
          <w:sz w:val="44"/>
          <w:szCs w:val="44"/>
        </w:rPr>
        <w:t>33项废止的强制性标准明细表</w:t>
      </w:r>
    </w:p>
    <w:tbl>
      <w:tblPr>
        <w:tblStyle w:val="a5"/>
        <w:tblW w:w="8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1439"/>
        <w:gridCol w:w="2424"/>
        <w:gridCol w:w="1687"/>
        <w:gridCol w:w="1843"/>
        <w:gridCol w:w="786"/>
      </w:tblGrid>
      <w:tr w:rsidR="000A55DE" w:rsidRPr="000337C6" w:rsidTr="00EC2CC4">
        <w:trPr>
          <w:cantSplit/>
          <w:tblHeader/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原归口单位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整合精简责任单位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整合精简结论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322-1993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露天矿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V及以下移动变电站 </w:t>
            </w:r>
          </w:p>
        </w:tc>
        <w:tc>
          <w:tcPr>
            <w:tcW w:w="1687" w:type="dxa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332-1993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XL 系列立井大型多绳箕斗卸载设备基本参数 </w:t>
            </w:r>
          </w:p>
        </w:tc>
        <w:tc>
          <w:tcPr>
            <w:tcW w:w="1687" w:type="dxa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646-1997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摩擦式金属支柱 </w:t>
            </w:r>
          </w:p>
        </w:tc>
        <w:tc>
          <w:tcPr>
            <w:tcW w:w="1687" w:type="dxa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MT819-1999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矿用隔爆型支腿式电动凿岩机 </w:t>
            </w:r>
          </w:p>
        </w:tc>
        <w:tc>
          <w:tcPr>
            <w:tcW w:w="1687" w:type="dxa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煤炭行业煤矿专用设备标准化技术委员会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147-1995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煤矿用阻燃抗静电织物整芯输送带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162-1995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粉尘采样器通用技术条件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200-1989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煤矿生产场所空气中全尘控制浓度的规定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281-1994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煤矿甲烷检测用载体催化元件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282-1994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煤矿用移动式甲烷断电仪 通用技术条件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283-1994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煤矿用固定式甲烷断电仪 通用技术条件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284-1994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立井提升容器楔形连接装置 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383-1995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煤矿用风筒涂覆布技术条件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422-1996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煤矿粉尘粒度分布测定方法（质量法）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425-1995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隔绝式化学氧自救器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426-1995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氯酸盐生氧起动器技术条件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444-1995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煤矿用催化燃烧式低浓度甲烷传感器技术条件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445-1995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煤矿用热导式高浓度甲烷传感器技术条件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446-1995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煤矿用电化学式一氧化碳传感器技术条件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MT 449-1995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煤矿用钢丝绳牵引输送带阻燃抗静电性试验方法和判定规则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450-1995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煤矿用钢丝绳芯输送带阻燃抗静电性试验方法和判定规则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452-1995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许用火焰灯技术条件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453-1995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隔绝式压缩氧呼吸器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520-1995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煤矿雷管生产厂防静电安全规程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563-1996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煤矿用携带型气体测定仪器通用技术条件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564-1996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煤矿用携带型催化燃烧式甲烷测定器技术条件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637-1996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煤与瓦斯突出矿井鉴定规范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709-1997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煤矿用一氧化碳过滤式自救器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710-1997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煤矿用隔爆型插销开关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711-1997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隔绝式压缩氧自救器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756-1997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防爆水槽用聚苯乙烯泡沫塑料阻燃性能试验方法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868-2000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过滤式自救器用干燥器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869-2000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过滤式自救器用一氧化碳氧化催化剂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  <w:tr w:rsidR="000A55DE" w:rsidRPr="000337C6" w:rsidTr="00EC2CC4">
        <w:trPr>
          <w:jc w:val="center"/>
        </w:trPr>
        <w:tc>
          <w:tcPr>
            <w:tcW w:w="39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39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MT 961-2005 </w:t>
            </w:r>
          </w:p>
        </w:tc>
        <w:tc>
          <w:tcPr>
            <w:tcW w:w="2424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煤矿井下用玻璃钢电缆架桥 </w:t>
            </w:r>
          </w:p>
        </w:tc>
        <w:tc>
          <w:tcPr>
            <w:tcW w:w="1687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煤炭行业煤矿安全标准化技术委员会 </w:t>
            </w:r>
          </w:p>
        </w:tc>
        <w:tc>
          <w:tcPr>
            <w:tcW w:w="1843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国家煤矿安全监察局 </w:t>
            </w:r>
          </w:p>
        </w:tc>
        <w:tc>
          <w:tcPr>
            <w:tcW w:w="786" w:type="dxa"/>
            <w:vAlign w:val="center"/>
          </w:tcPr>
          <w:p w:rsidR="000A55DE" w:rsidRPr="000337C6" w:rsidRDefault="000A55DE" w:rsidP="00EC2C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0337C6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废止</w:t>
            </w:r>
          </w:p>
        </w:tc>
      </w:tr>
    </w:tbl>
    <w:p w:rsidR="000A55DE" w:rsidRDefault="000A55DE" w:rsidP="000A55DE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A55DE" w:rsidRDefault="000A55DE" w:rsidP="000A55DE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0A55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61" w:rsidRDefault="00B42F61" w:rsidP="000A55DE">
      <w:r>
        <w:separator/>
      </w:r>
    </w:p>
  </w:endnote>
  <w:endnote w:type="continuationSeparator" w:id="0">
    <w:p w:rsidR="00B42F61" w:rsidRDefault="00B42F61" w:rsidP="000A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60" w:rsidRDefault="00B42F61">
    <w:pPr>
      <w:pStyle w:val="a4"/>
      <w:jc w:val="center"/>
    </w:pPr>
  </w:p>
  <w:p w:rsidR="009C4960" w:rsidRDefault="00B42F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61" w:rsidRDefault="00B42F61" w:rsidP="000A55DE">
      <w:r>
        <w:separator/>
      </w:r>
    </w:p>
  </w:footnote>
  <w:footnote w:type="continuationSeparator" w:id="0">
    <w:p w:rsidR="00B42F61" w:rsidRDefault="00B42F61" w:rsidP="000A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7D99"/>
    <w:multiLevelType w:val="hybridMultilevel"/>
    <w:tmpl w:val="E9D8BA6E"/>
    <w:lvl w:ilvl="0" w:tplc="574EC20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DF151B"/>
    <w:multiLevelType w:val="singleLevel"/>
    <w:tmpl w:val="59DF151B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7"/>
    <w:rsid w:val="000A55DE"/>
    <w:rsid w:val="00224C57"/>
    <w:rsid w:val="002C645B"/>
    <w:rsid w:val="00314AAE"/>
    <w:rsid w:val="003946E3"/>
    <w:rsid w:val="003C3630"/>
    <w:rsid w:val="004E74AC"/>
    <w:rsid w:val="006F54E3"/>
    <w:rsid w:val="00B42F61"/>
    <w:rsid w:val="00D1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5DE"/>
    <w:rPr>
      <w:sz w:val="18"/>
      <w:szCs w:val="18"/>
    </w:rPr>
  </w:style>
  <w:style w:type="table" w:styleId="a5">
    <w:name w:val="Table Grid"/>
    <w:basedOn w:val="a1"/>
    <w:uiPriority w:val="59"/>
    <w:rsid w:val="000A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日期 Char"/>
    <w:basedOn w:val="a0"/>
    <w:link w:val="a6"/>
    <w:uiPriority w:val="99"/>
    <w:rsid w:val="000A55DE"/>
  </w:style>
  <w:style w:type="paragraph" w:styleId="a6">
    <w:name w:val="Date"/>
    <w:basedOn w:val="a"/>
    <w:next w:val="a"/>
    <w:link w:val="Char1"/>
    <w:uiPriority w:val="99"/>
    <w:unhideWhenUsed/>
    <w:rsid w:val="000A55DE"/>
    <w:pPr>
      <w:ind w:leftChars="2500" w:left="100"/>
    </w:pPr>
    <w:rPr>
      <w:szCs w:val="22"/>
    </w:rPr>
  </w:style>
  <w:style w:type="character" w:customStyle="1" w:styleId="Char10">
    <w:name w:val="日期 Char1"/>
    <w:basedOn w:val="a0"/>
    <w:uiPriority w:val="99"/>
    <w:semiHidden/>
    <w:rsid w:val="000A55DE"/>
    <w:rPr>
      <w:szCs w:val="24"/>
    </w:rPr>
  </w:style>
  <w:style w:type="paragraph" w:styleId="a7">
    <w:name w:val="List Paragraph"/>
    <w:basedOn w:val="a"/>
    <w:uiPriority w:val="34"/>
    <w:unhideWhenUsed/>
    <w:qFormat/>
    <w:rsid w:val="000A55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5DE"/>
    <w:rPr>
      <w:sz w:val="18"/>
      <w:szCs w:val="18"/>
    </w:rPr>
  </w:style>
  <w:style w:type="table" w:styleId="a5">
    <w:name w:val="Table Grid"/>
    <w:basedOn w:val="a1"/>
    <w:uiPriority w:val="59"/>
    <w:rsid w:val="000A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日期 Char"/>
    <w:basedOn w:val="a0"/>
    <w:link w:val="a6"/>
    <w:uiPriority w:val="99"/>
    <w:rsid w:val="000A55DE"/>
  </w:style>
  <w:style w:type="paragraph" w:styleId="a6">
    <w:name w:val="Date"/>
    <w:basedOn w:val="a"/>
    <w:next w:val="a"/>
    <w:link w:val="Char1"/>
    <w:uiPriority w:val="99"/>
    <w:unhideWhenUsed/>
    <w:rsid w:val="000A55DE"/>
    <w:pPr>
      <w:ind w:leftChars="2500" w:left="100"/>
    </w:pPr>
    <w:rPr>
      <w:szCs w:val="22"/>
    </w:rPr>
  </w:style>
  <w:style w:type="character" w:customStyle="1" w:styleId="Char10">
    <w:name w:val="日期 Char1"/>
    <w:basedOn w:val="a0"/>
    <w:uiPriority w:val="99"/>
    <w:semiHidden/>
    <w:rsid w:val="000A55DE"/>
    <w:rPr>
      <w:szCs w:val="24"/>
    </w:rPr>
  </w:style>
  <w:style w:type="paragraph" w:styleId="a7">
    <w:name w:val="List Paragraph"/>
    <w:basedOn w:val="a"/>
    <w:uiPriority w:val="34"/>
    <w:unhideWhenUsed/>
    <w:qFormat/>
    <w:rsid w:val="000A5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王铁根</dc:creator>
  <cp:lastModifiedBy>王铁根</cp:lastModifiedBy>
  <cp:revision>6</cp:revision>
  <cp:lastPrinted>2017-11-15T02:24:00Z</cp:lastPrinted>
  <dcterms:created xsi:type="dcterms:W3CDTF">2017-11-15T02:15:00Z</dcterms:created>
  <dcterms:modified xsi:type="dcterms:W3CDTF">2017-11-15T02:24:00Z</dcterms:modified>
</cp:coreProperties>
</file>