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89" w:rsidRDefault="00CB3E23">
      <w:pPr>
        <w:spacing w:line="600" w:lineRule="exact"/>
        <w:jc w:val="left"/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CD429E">
        <w:rPr>
          <w:rFonts w:ascii="黑体" w:eastAsia="黑体" w:hAnsi="黑体" w:cs="黑体" w:hint="eastAsia"/>
          <w:bCs/>
          <w:color w:val="000000"/>
          <w:sz w:val="32"/>
          <w:szCs w:val="32"/>
        </w:rPr>
        <w:t>7</w:t>
      </w:r>
      <w:bookmarkStart w:id="0" w:name="_GoBack"/>
      <w:bookmarkEnd w:id="0"/>
    </w:p>
    <w:p w:rsidR="00D13089" w:rsidRDefault="00D13089">
      <w:pPr>
        <w:spacing w:line="600" w:lineRule="exact"/>
        <w:jc w:val="left"/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D13089" w:rsidRPr="00C068B2" w:rsidRDefault="00CB3E23">
      <w:pPr>
        <w:spacing w:line="600" w:lineRule="exact"/>
        <w:jc w:val="center"/>
        <w:outlineLvl w:val="0"/>
        <w:rPr>
          <w:rFonts w:ascii="华文中宋" w:eastAsia="华文中宋" w:hAnsi="华文中宋" w:cs="方正小标宋简体"/>
          <w:b/>
          <w:color w:val="000000"/>
          <w:sz w:val="44"/>
          <w:szCs w:val="44"/>
        </w:rPr>
      </w:pPr>
      <w:r w:rsidRPr="00C068B2">
        <w:rPr>
          <w:rFonts w:ascii="华文中宋" w:eastAsia="华文中宋" w:hAnsi="华文中宋" w:cs="方正小标宋简体" w:hint="eastAsia"/>
          <w:b/>
          <w:color w:val="000000"/>
          <w:sz w:val="44"/>
          <w:szCs w:val="44"/>
        </w:rPr>
        <w:t>金属非金属矿山尾矿库建设项目安全设施</w:t>
      </w:r>
    </w:p>
    <w:p w:rsidR="00D13089" w:rsidRPr="00C068B2" w:rsidRDefault="00CB3E23">
      <w:pPr>
        <w:spacing w:line="600" w:lineRule="exact"/>
        <w:jc w:val="center"/>
        <w:outlineLvl w:val="0"/>
        <w:rPr>
          <w:rFonts w:ascii="华文中宋" w:eastAsia="华文中宋" w:hAnsi="华文中宋" w:cs="方正小标宋简体"/>
          <w:b/>
          <w:color w:val="000000"/>
          <w:sz w:val="44"/>
          <w:szCs w:val="44"/>
        </w:rPr>
      </w:pPr>
      <w:r w:rsidRPr="00C068B2">
        <w:rPr>
          <w:rFonts w:ascii="华文中宋" w:eastAsia="华文中宋" w:hAnsi="华文中宋" w:cs="方正小标宋简体" w:hint="eastAsia"/>
          <w:b/>
          <w:color w:val="000000"/>
          <w:sz w:val="44"/>
          <w:szCs w:val="44"/>
        </w:rPr>
        <w:t>重大变更范围（征求意见稿）</w:t>
      </w:r>
    </w:p>
    <w:p w:rsidR="00D13089" w:rsidRDefault="00D13089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</w:p>
    <w:p w:rsidR="00D13089" w:rsidRDefault="00CB3E2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（一）总库容或总坝高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基建期总库容或总坝高发生变化。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（二）筑坝及排放方式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1.湿式尾矿库上游式尾矿筑坝法.中线式尾矿筑坝法.下游式尾矿筑坝法.一次建坝四类筑坝方式之间发生改变。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2.湿式尾矿库坝前排放.周边排放.库尾排放三类尾矿排放方式之间发生改变。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3.干式尾矿库库前式尾矿排放筑坝法.库周式尾矿排放筑坝法.库中式尾矿排放筑坝法.库尾式尾矿排放筑坝法.一次建坝五类筑坝方式之间发生改变。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（三）尾矿物化特性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1.采用尾矿堆坝的，入库尾矿的粒度变细，并引起尾矿沉积或物理力学特性发生改变。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2.湿式尾矿库采用尾矿筑坝的，入库尾矿排放浓度变高，并引起尾矿沉积或物理力学特性发生改变。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3.干式尾矿库采用尾矿筑坝的，入库尾矿含水率变大，并引起尾矿物理力学特性发生改变。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（四）尾矿坝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1.初期坝或一次建坝存在下列情况之一的：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（1）坝址发生改变；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（2）坝型发生改变；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（3）坝高发生改变；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（4）坝体坡比变陡；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（5）筑坝材料发生改变。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2.尾矿堆积坝平均堆积外坡比变陡。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3.尾矿堆积坝上升速率变大。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4.坝体防渗或者排渗型式.布置发生改变，并引起防渗.排渗效果变差。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5.干式尾矿库堆存推进方向改变.压实度变小.台阶高度变高及台阶坡比变陡。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6.坝体外坡维护措施发生改变。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7.最终坝轴线位置发生改变。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（五）防洪排水系统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1.防洪排水系统存在下列情况之一，并导致防洪排水系统的泄洪能力或建（构）筑物强度降低的：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（1）防洪排水系统型式发生改变；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（2）防洪排水系统布置发生改变；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（3）防洪排水系统结构发生改变；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（4）防洪排水系统尺寸发生改变；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（5）防洪排水系统建筑材料发生改变。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2.进水构筑物终止使用时的封堵措施发生改变。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（六）其他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1.设计以外的尾矿.废料或者废水进库。</w:t>
      </w:r>
    </w:p>
    <w:p w:rsidR="00D13089" w:rsidRDefault="00CB3E2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2.工程地质条件或外部环境发生重大变化，并对尾矿库运行安全产生重大影响。</w:t>
      </w:r>
    </w:p>
    <w:p w:rsidR="00D13089" w:rsidRDefault="00D13089">
      <w:pPr>
        <w:spacing w:line="560" w:lineRule="exact"/>
        <w:ind w:firstLineChars="200" w:firstLine="640"/>
        <w:outlineLvl w:val="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</w:p>
    <w:p w:rsidR="00D13089" w:rsidRDefault="00D13089">
      <w:pPr>
        <w:spacing w:line="560" w:lineRule="exact"/>
        <w:ind w:firstLineChars="200" w:firstLine="640"/>
        <w:outlineLvl w:val="0"/>
        <w:rPr>
          <w:rFonts w:ascii="宋体" w:hAnsi="宋体" w:cs="宋体"/>
          <w:color w:val="FF0000"/>
          <w:kern w:val="0"/>
          <w:sz w:val="32"/>
          <w:szCs w:val="32"/>
          <w:lang w:bidi="ar"/>
        </w:rPr>
      </w:pPr>
    </w:p>
    <w:p w:rsidR="00D13089" w:rsidRDefault="00D13089">
      <w:pPr>
        <w:spacing w:line="560" w:lineRule="exact"/>
        <w:ind w:firstLineChars="200" w:firstLine="640"/>
        <w:outlineLvl w:val="0"/>
        <w:rPr>
          <w:sz w:val="32"/>
          <w:szCs w:val="32"/>
        </w:rPr>
      </w:pPr>
    </w:p>
    <w:sectPr w:rsidR="00D13089">
      <w:footerReference w:type="default" r:id="rId8"/>
      <w:pgSz w:w="11906" w:h="16838"/>
      <w:pgMar w:top="1701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E9" w:rsidRDefault="00DD13E9">
      <w:r>
        <w:separator/>
      </w:r>
    </w:p>
  </w:endnote>
  <w:endnote w:type="continuationSeparator" w:id="0">
    <w:p w:rsidR="00DD13E9" w:rsidRDefault="00DD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120C96F-E321-47F8-B8DB-977E5B3160A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142E50F1-02BF-4550-9BDA-4F07E0949EC5}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4E6E2DD-B7DD-41A4-8E10-FE2CA3C6DD9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089" w:rsidRDefault="00CB3E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089" w:rsidRDefault="00CB3E2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42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13089" w:rsidRDefault="00CB3E2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429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E9" w:rsidRDefault="00DD13E9">
      <w:r>
        <w:separator/>
      </w:r>
    </w:p>
  </w:footnote>
  <w:footnote w:type="continuationSeparator" w:id="0">
    <w:p w:rsidR="00DD13E9" w:rsidRDefault="00DD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zZmZDkyZDllMzA1ZTQ2NjlmZjlmMGRiYzY2MWIifQ=="/>
  </w:docVars>
  <w:rsids>
    <w:rsidRoot w:val="7B2A29B6"/>
    <w:rsid w:val="00C068B2"/>
    <w:rsid w:val="00CB3E23"/>
    <w:rsid w:val="00CD429E"/>
    <w:rsid w:val="00D13089"/>
    <w:rsid w:val="00DD13E9"/>
    <w:rsid w:val="136E1DBE"/>
    <w:rsid w:val="33776253"/>
    <w:rsid w:val="3F046B1D"/>
    <w:rsid w:val="415850B0"/>
    <w:rsid w:val="44F500E4"/>
    <w:rsid w:val="6BEE4AAC"/>
    <w:rsid w:val="734F0FD2"/>
    <w:rsid w:val="7B2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Huibin</dc:creator>
  <cp:lastModifiedBy>夏长念</cp:lastModifiedBy>
  <cp:revision>3</cp:revision>
  <dcterms:created xsi:type="dcterms:W3CDTF">2022-12-06T08:15:00Z</dcterms:created>
  <dcterms:modified xsi:type="dcterms:W3CDTF">2022-12-07T10:48:00Z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062FFF7DF4C04557BE7828F10DE8893A</vt:lpwstr>
  </property>
</Properties>
</file>